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4D864B82" w:rsidR="000011FB" w:rsidRPr="00B56820" w:rsidRDefault="00E3692F" w:rsidP="000011FB">
      <w:pPr>
        <w:pStyle w:val="a3"/>
        <w:tabs>
          <w:tab w:val="left" w:pos="8280"/>
        </w:tabs>
        <w:spacing w:line="280" w:lineRule="exact"/>
        <w:rPr>
          <w:rFonts w:cs="Arial"/>
          <w:color w:val="FF0000"/>
          <w:sz w:val="24"/>
          <w:szCs w:val="24"/>
          <w:lang w:val="en-US"/>
        </w:rPr>
      </w:pPr>
      <w:r w:rsidRPr="00E3692F">
        <w:rPr>
          <w:rFonts w:cs="Arial"/>
          <w:color w:val="000000"/>
          <w:sz w:val="24"/>
          <w:szCs w:val="24"/>
          <w:lang w:val="en-US"/>
        </w:rPr>
        <w:t>3GPP TSG-RAN WG4 Meeting #</w:t>
      </w:r>
      <w:r w:rsidR="006C69F3" w:rsidRPr="00E3692F">
        <w:rPr>
          <w:rFonts w:cs="Arial"/>
          <w:color w:val="000000"/>
          <w:sz w:val="24"/>
          <w:szCs w:val="24"/>
          <w:lang w:val="en-US"/>
        </w:rPr>
        <w:t>1</w:t>
      </w:r>
      <w:r w:rsidR="00EA3765">
        <w:rPr>
          <w:rFonts w:cs="Arial"/>
          <w:color w:val="000000"/>
          <w:sz w:val="24"/>
          <w:szCs w:val="24"/>
          <w:lang w:val="en-US"/>
        </w:rPr>
        <w:t>10bis</w:t>
      </w:r>
      <w:r w:rsidR="008D057A">
        <w:rPr>
          <w:rFonts w:cs="Arial"/>
          <w:color w:val="000000"/>
          <w:sz w:val="24"/>
          <w:szCs w:val="24"/>
          <w:lang w:val="en-US"/>
        </w:rPr>
        <w:t xml:space="preserve">  </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EA3765">
        <w:rPr>
          <w:rFonts w:cs="Arial"/>
          <w:color w:val="000000"/>
          <w:sz w:val="24"/>
          <w:szCs w:val="24"/>
          <w:lang w:val="en-US"/>
        </w:rPr>
        <w:t xml:space="preserve"> </w:t>
      </w:r>
      <w:r w:rsidR="006C69F3" w:rsidRPr="0063304F">
        <w:rPr>
          <w:rFonts w:cs="Arial"/>
          <w:color w:val="000000"/>
          <w:sz w:val="24"/>
          <w:szCs w:val="24"/>
          <w:lang w:val="en-US"/>
        </w:rPr>
        <w:t xml:space="preserve">  </w:t>
      </w:r>
      <w:r w:rsidR="0087797B">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r w:rsidR="0090478D" w:rsidRPr="0090478D">
        <w:rPr>
          <w:rFonts w:cs="Arial"/>
          <w:color w:val="000000"/>
          <w:sz w:val="24"/>
          <w:szCs w:val="24"/>
          <w:lang w:val="en-US"/>
        </w:rPr>
        <w:t>R4-2405619</w:t>
      </w:r>
    </w:p>
    <w:p w14:paraId="5075FC9A" w14:textId="666CBF3A" w:rsidR="000C6DF3" w:rsidRDefault="00C74C3D" w:rsidP="008A3175">
      <w:pPr>
        <w:tabs>
          <w:tab w:val="left" w:pos="1985"/>
        </w:tabs>
        <w:jc w:val="both"/>
        <w:rPr>
          <w:rFonts w:ascii="Arial" w:eastAsia="SimSun" w:hAnsi="Arial" w:cs="Arial"/>
          <w:b/>
          <w:color w:val="000000"/>
          <w:lang w:eastAsia="zh-CN"/>
        </w:rPr>
      </w:pPr>
      <w:r w:rsidRPr="00C74C3D">
        <w:rPr>
          <w:rFonts w:ascii="Arial" w:eastAsia="SimSun" w:hAnsi="Arial" w:cs="Arial"/>
          <w:b/>
          <w:color w:val="000000"/>
          <w:lang w:eastAsia="zh-CN"/>
        </w:rPr>
        <w:t>Changsha</w:t>
      </w:r>
      <w:r w:rsidR="0023419B" w:rsidRPr="0023419B">
        <w:rPr>
          <w:rFonts w:ascii="Arial" w:eastAsia="SimSun" w:hAnsi="Arial" w:cs="Arial"/>
          <w:b/>
          <w:color w:val="000000"/>
          <w:lang w:eastAsia="zh-CN"/>
        </w:rPr>
        <w:t xml:space="preserve">, </w:t>
      </w:r>
      <w:r>
        <w:rPr>
          <w:rFonts w:ascii="Arial" w:eastAsia="SimSun" w:hAnsi="Arial" w:cs="Arial"/>
          <w:b/>
          <w:color w:val="000000"/>
          <w:lang w:eastAsia="zh-CN"/>
        </w:rPr>
        <w:t>China</w:t>
      </w:r>
      <w:r w:rsidR="0023419B" w:rsidRPr="0023419B">
        <w:rPr>
          <w:rFonts w:ascii="Arial" w:eastAsia="SimSun" w:hAnsi="Arial" w:cs="Arial"/>
          <w:b/>
          <w:color w:val="000000"/>
          <w:lang w:eastAsia="zh-CN"/>
        </w:rPr>
        <w:t xml:space="preserve">, </w:t>
      </w:r>
      <w:bookmarkStart w:id="0" w:name="OLE_LINK74"/>
      <w:r>
        <w:rPr>
          <w:rFonts w:ascii="Arial" w:eastAsia="SimSun" w:hAnsi="Arial" w:cs="Arial"/>
          <w:b/>
          <w:color w:val="000000"/>
          <w:lang w:eastAsia="zh-CN"/>
        </w:rPr>
        <w:t>April</w:t>
      </w:r>
      <w:bookmarkEnd w:id="0"/>
      <w:r w:rsidR="0023419B" w:rsidRPr="0023419B">
        <w:rPr>
          <w:rFonts w:ascii="Arial" w:eastAsia="SimSun" w:hAnsi="Arial" w:cs="Arial"/>
          <w:b/>
          <w:color w:val="000000"/>
          <w:lang w:eastAsia="zh-CN"/>
        </w:rPr>
        <w:t xml:space="preserve"> 1</w:t>
      </w:r>
      <w:r>
        <w:rPr>
          <w:rFonts w:ascii="Arial" w:eastAsia="SimSun" w:hAnsi="Arial" w:cs="Arial"/>
          <w:b/>
          <w:color w:val="000000"/>
          <w:lang w:eastAsia="zh-CN"/>
        </w:rPr>
        <w:t>5</w:t>
      </w:r>
      <w:r w:rsidR="0023419B" w:rsidRPr="0023419B">
        <w:rPr>
          <w:rFonts w:ascii="Arial" w:eastAsia="SimSun" w:hAnsi="Arial" w:cs="Arial"/>
          <w:b/>
          <w:color w:val="000000"/>
          <w:lang w:eastAsia="zh-CN"/>
        </w:rPr>
        <w:t xml:space="preserve"> – </w:t>
      </w:r>
      <w:r>
        <w:rPr>
          <w:rFonts w:ascii="Arial" w:eastAsia="SimSun" w:hAnsi="Arial" w:cs="Arial"/>
          <w:b/>
          <w:color w:val="000000"/>
          <w:lang w:eastAsia="zh-CN"/>
        </w:rPr>
        <w:t>April</w:t>
      </w:r>
      <w:r w:rsidR="0023419B" w:rsidRPr="0023419B">
        <w:rPr>
          <w:rFonts w:ascii="Arial" w:eastAsia="SimSun" w:hAnsi="Arial" w:cs="Arial"/>
          <w:b/>
          <w:color w:val="000000"/>
          <w:lang w:eastAsia="zh-CN"/>
        </w:rPr>
        <w:t xml:space="preserve"> 1</w:t>
      </w:r>
      <w:r>
        <w:rPr>
          <w:rFonts w:ascii="Arial" w:eastAsia="SimSun" w:hAnsi="Arial" w:cs="Arial"/>
          <w:b/>
          <w:color w:val="000000"/>
          <w:lang w:eastAsia="zh-CN"/>
        </w:rPr>
        <w:t>9</w:t>
      </w:r>
      <w:r w:rsidR="0023419B" w:rsidRPr="0023419B">
        <w:rPr>
          <w:rFonts w:ascii="Arial" w:eastAsia="SimSun" w:hAnsi="Arial" w:cs="Arial"/>
          <w:b/>
          <w:color w:val="000000"/>
          <w:lang w:eastAsia="zh-CN"/>
        </w:rPr>
        <w:t>, 202</w:t>
      </w:r>
      <w:r>
        <w:rPr>
          <w:rFonts w:ascii="Arial" w:eastAsia="SimSun" w:hAnsi="Arial" w:cs="Arial"/>
          <w:b/>
          <w:color w:val="000000"/>
          <w:lang w:eastAsia="zh-CN"/>
        </w:rPr>
        <w:t>4</w:t>
      </w:r>
    </w:p>
    <w:p w14:paraId="47867382" w14:textId="77777777" w:rsidR="0023419B" w:rsidRPr="0023419B" w:rsidRDefault="0023419B"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1" w:name="OLE_LINK163"/>
      <w:bookmarkStart w:id="2" w:name="OLE_LINK73"/>
      <w:r w:rsidR="00B51AE6">
        <w:rPr>
          <w:rFonts w:ascii="Arial" w:hAnsi="Arial" w:cs="Arial"/>
          <w:color w:val="000000"/>
        </w:rPr>
        <w:t>Discussion</w:t>
      </w:r>
      <w:r w:rsidR="00901355">
        <w:rPr>
          <w:rFonts w:ascii="Arial" w:hAnsi="Arial" w:cs="Arial"/>
          <w:color w:val="000000"/>
        </w:rPr>
        <w:t xml:space="preserve"> on</w:t>
      </w:r>
      <w:bookmarkStart w:id="3" w:name="OLE_LINK171"/>
      <w:r w:rsidR="00CD598E">
        <w:rPr>
          <w:rFonts w:ascii="Arial" w:hAnsi="Arial" w:cs="Arial"/>
          <w:color w:val="000000"/>
        </w:rPr>
        <w:t xml:space="preserve"> </w:t>
      </w:r>
      <w:bookmarkStart w:id="4" w:name="OLE_LINK94"/>
      <w:bookmarkStart w:id="5" w:name="OLE_LINK174"/>
      <w:r w:rsidR="00CD598E">
        <w:rPr>
          <w:rFonts w:ascii="Arial" w:hAnsi="Arial" w:cs="Arial"/>
          <w:color w:val="000000"/>
        </w:rPr>
        <w:t>power domain enhancement</w:t>
      </w:r>
      <w:bookmarkEnd w:id="3"/>
      <w:bookmarkEnd w:id="5"/>
      <w:r w:rsidR="00CD598E">
        <w:rPr>
          <w:rFonts w:ascii="Arial" w:hAnsi="Arial" w:cs="Arial"/>
          <w:color w:val="000000"/>
        </w:rPr>
        <w:t xml:space="preserve"> for NR single carrier</w:t>
      </w:r>
      <w:bookmarkEnd w:id="1"/>
      <w:bookmarkEnd w:id="4"/>
      <w:r w:rsidR="00681556" w:rsidRPr="00D51892">
        <w:rPr>
          <w:rFonts w:ascii="Arial" w:hAnsi="Arial" w:cs="Arial"/>
          <w:color w:val="000000"/>
        </w:rPr>
        <w:t xml:space="preserve"> </w:t>
      </w:r>
      <w:bookmarkEnd w:id="2"/>
    </w:p>
    <w:p w14:paraId="77BBC9DF" w14:textId="76440E8F"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967EE9">
        <w:rPr>
          <w:rFonts w:ascii="Arial" w:hAnsi="Arial" w:cs="Arial"/>
          <w:color w:val="000000"/>
        </w:rPr>
        <w:t>9.1.3</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0A230AC4" w14:textId="48E28D5B" w:rsidR="00C35379" w:rsidRPr="00E85F3A" w:rsidRDefault="0049099A" w:rsidP="00C35379">
      <w:pPr>
        <w:jc w:val="both"/>
        <w:rPr>
          <w:sz w:val="20"/>
          <w:szCs w:val="20"/>
          <w:lang w:eastAsia="de-DE"/>
        </w:rPr>
      </w:pPr>
      <w:r w:rsidRPr="008B42D0">
        <w:rPr>
          <w:sz w:val="20"/>
          <w:szCs w:val="20"/>
          <w:lang w:eastAsia="zh-CN"/>
        </w:rPr>
        <w:t xml:space="preserve">In </w:t>
      </w:r>
      <w:r w:rsidR="00BB3501" w:rsidRPr="008B42D0">
        <w:rPr>
          <w:sz w:val="20"/>
          <w:szCs w:val="20"/>
          <w:lang w:eastAsia="zh-CN"/>
        </w:rPr>
        <w:t>RAN</w:t>
      </w:r>
      <w:r w:rsidR="00BB7F22">
        <w:rPr>
          <w:sz w:val="20"/>
          <w:szCs w:val="20"/>
          <w:lang w:eastAsia="zh-CN"/>
        </w:rPr>
        <w:t>#103</w:t>
      </w:r>
      <w:r w:rsidR="00A56A9F">
        <w:rPr>
          <w:sz w:val="20"/>
          <w:szCs w:val="20"/>
          <w:lang w:eastAsia="zh-CN"/>
        </w:rPr>
        <w:t>,</w:t>
      </w:r>
      <w:r w:rsidR="00BB3501" w:rsidRPr="00C35379">
        <w:rPr>
          <w:sz w:val="20"/>
          <w:szCs w:val="20"/>
          <w:lang w:eastAsia="zh-CN"/>
        </w:rPr>
        <w:t xml:space="preserve"> </w:t>
      </w:r>
      <w:r w:rsidR="00A56A9F" w:rsidRPr="00A56A9F">
        <w:rPr>
          <w:sz w:val="20"/>
          <w:szCs w:val="20"/>
          <w:lang w:eastAsia="zh-CN"/>
        </w:rPr>
        <w:t>power domain enhancement</w:t>
      </w:r>
      <w:r w:rsidR="00BB3501" w:rsidRPr="00C35379">
        <w:rPr>
          <w:sz w:val="20"/>
          <w:szCs w:val="20"/>
          <w:lang w:eastAsia="zh-CN"/>
        </w:rPr>
        <w:t xml:space="preserve"> has been approved [1]</w:t>
      </w:r>
      <w:r w:rsidR="001E0982" w:rsidRPr="00C35379">
        <w:rPr>
          <w:sz w:val="20"/>
          <w:szCs w:val="20"/>
          <w:lang w:eastAsia="zh-CN"/>
        </w:rPr>
        <w:t xml:space="preserve"> </w:t>
      </w:r>
      <w:r w:rsidR="00E811B1">
        <w:rPr>
          <w:sz w:val="20"/>
          <w:szCs w:val="20"/>
          <w:lang w:eastAsia="zh-CN"/>
        </w:rPr>
        <w:t xml:space="preserve">for </w:t>
      </w:r>
      <w:bookmarkStart w:id="6" w:name="OLE_LINK41"/>
      <w:r w:rsidR="00BB7F22" w:rsidRPr="00BB7F22">
        <w:rPr>
          <w:sz w:val="20"/>
          <w:szCs w:val="20"/>
          <w:lang w:eastAsia="zh-CN"/>
        </w:rPr>
        <w:t xml:space="preserve">MPR reduction for NR </w:t>
      </w:r>
      <w:bookmarkStart w:id="7" w:name="OLE_LINK175"/>
      <w:r w:rsidR="00BB7F22" w:rsidRPr="00BB7F22">
        <w:rPr>
          <w:sz w:val="20"/>
          <w:szCs w:val="20"/>
          <w:lang w:eastAsia="zh-CN"/>
        </w:rPr>
        <w:t>single carrier</w:t>
      </w:r>
      <w:bookmarkEnd w:id="6"/>
      <w:bookmarkEnd w:id="7"/>
      <w:r w:rsidR="00BB7F22" w:rsidRPr="00BB7F22">
        <w:rPr>
          <w:sz w:val="20"/>
          <w:szCs w:val="20"/>
          <w:lang w:eastAsia="zh-CN"/>
        </w:rPr>
        <w:t xml:space="preserve"> and NR intra-band UL CA</w:t>
      </w:r>
      <w:r w:rsidR="007222DC" w:rsidRPr="007222DC">
        <w:rPr>
          <w:sz w:val="20"/>
          <w:szCs w:val="20"/>
          <w:lang w:eastAsia="zh-CN"/>
        </w:rPr>
        <w:t>,</w:t>
      </w:r>
      <w:r w:rsidR="00CD598E">
        <w:rPr>
          <w:sz w:val="20"/>
          <w:szCs w:val="20"/>
          <w:lang w:eastAsia="zh-CN"/>
        </w:rPr>
        <w:t xml:space="preserve"> </w:t>
      </w:r>
      <w:r w:rsidR="007222DC" w:rsidRPr="007222DC">
        <w:rPr>
          <w:sz w:val="20"/>
          <w:szCs w:val="20"/>
          <w:lang w:eastAsia="zh-CN"/>
        </w:rPr>
        <w:t>as illustrated below.</w:t>
      </w:r>
    </w:p>
    <w:p w14:paraId="4A214CDB" w14:textId="7D60B92C" w:rsidR="00CE088D" w:rsidRPr="00C35379" w:rsidRDefault="00CE088D" w:rsidP="008F2F98">
      <w:pPr>
        <w:jc w:val="both"/>
        <w:rPr>
          <w:sz w:val="20"/>
          <w:szCs w:val="20"/>
          <w:lang w:eastAsia="zh-CN"/>
        </w:rPr>
      </w:pPr>
    </w:p>
    <w:tbl>
      <w:tblPr>
        <w:tblStyle w:val="a7"/>
        <w:tblW w:w="0" w:type="auto"/>
        <w:tblLook w:val="04A0" w:firstRow="1" w:lastRow="0" w:firstColumn="1" w:lastColumn="0" w:noHBand="0" w:noVBand="1"/>
      </w:tblPr>
      <w:tblGrid>
        <w:gridCol w:w="9629"/>
      </w:tblGrid>
      <w:tr w:rsidR="00CE088D" w14:paraId="1D6B67A2" w14:textId="77777777" w:rsidTr="00EB151C">
        <w:tc>
          <w:tcPr>
            <w:tcW w:w="9855" w:type="dxa"/>
          </w:tcPr>
          <w:p w14:paraId="2DD60663" w14:textId="77777777" w:rsidR="00967EE9" w:rsidRDefault="00967EE9" w:rsidP="00967EE9">
            <w:pPr>
              <w:pStyle w:val="af4"/>
              <w:widowControl w:val="0"/>
              <w:numPr>
                <w:ilvl w:val="0"/>
                <w:numId w:val="28"/>
              </w:numPr>
              <w:spacing w:after="0"/>
              <w:contextualSpacing w:val="0"/>
              <w:rPr>
                <w:sz w:val="20"/>
                <w:szCs w:val="20"/>
              </w:rPr>
            </w:pPr>
            <w:bookmarkStart w:id="8" w:name="OLE_LINK30"/>
            <w:bookmarkStart w:id="9" w:name="_Hlk134791802"/>
            <w:r>
              <w:rPr>
                <w:sz w:val="20"/>
                <w:szCs w:val="20"/>
              </w:rPr>
              <w:t xml:space="preserve">Specify </w:t>
            </w:r>
            <w:bookmarkStart w:id="10" w:name="OLE_LINK40"/>
            <w:bookmarkStart w:id="11" w:name="OLE_LINK39"/>
            <w:r>
              <w:rPr>
                <w:sz w:val="20"/>
                <w:szCs w:val="20"/>
              </w:rPr>
              <w:t>power domain enhancement</w:t>
            </w:r>
            <w:bookmarkEnd w:id="10"/>
            <w:r>
              <w:rPr>
                <w:sz w:val="20"/>
                <w:szCs w:val="20"/>
              </w:rPr>
              <w:t>, e.g., MPR reduction for NR single carrier and NR intra-band UL CA</w:t>
            </w:r>
            <w:bookmarkEnd w:id="11"/>
          </w:p>
          <w:p w14:paraId="06BFC4C8" w14:textId="77777777" w:rsidR="00967EE9" w:rsidRDefault="00967EE9" w:rsidP="00967EE9">
            <w:pPr>
              <w:pStyle w:val="af4"/>
              <w:widowControl w:val="0"/>
              <w:numPr>
                <w:ilvl w:val="1"/>
                <w:numId w:val="28"/>
              </w:numPr>
              <w:spacing w:after="0"/>
              <w:contextualSpacing w:val="0"/>
              <w:rPr>
                <w:sz w:val="20"/>
                <w:szCs w:val="20"/>
              </w:rPr>
            </w:pPr>
            <w:r>
              <w:rPr>
                <w:sz w:val="20"/>
                <w:szCs w:val="20"/>
              </w:rPr>
              <w:t>Study the scenarios, and if feasible, specify the power domain enhancement, e.g., MPR reduction, for PC2 and PC3 with applicable ACLR/SEM/spurious emission modification with BS indication for NR FR1 on a single UL carrier</w:t>
            </w:r>
          </w:p>
          <w:p w14:paraId="05ECE4B5" w14:textId="77777777" w:rsidR="00967EE9" w:rsidRDefault="00967EE9" w:rsidP="00967EE9">
            <w:pPr>
              <w:pStyle w:val="af4"/>
              <w:widowControl w:val="0"/>
              <w:numPr>
                <w:ilvl w:val="2"/>
                <w:numId w:val="28"/>
              </w:numPr>
              <w:spacing w:after="0"/>
              <w:contextualSpacing w:val="0"/>
              <w:rPr>
                <w:sz w:val="20"/>
                <w:szCs w:val="20"/>
              </w:rPr>
            </w:pPr>
            <w:r>
              <w:rPr>
                <w:sz w:val="20"/>
                <w:szCs w:val="20"/>
              </w:rPr>
              <w:t>Include the following scenarios:</w:t>
            </w:r>
          </w:p>
          <w:p w14:paraId="6C0EA222" w14:textId="77777777" w:rsidR="00967EE9" w:rsidRDefault="00967EE9" w:rsidP="00967EE9">
            <w:pPr>
              <w:pStyle w:val="af4"/>
              <w:widowControl w:val="0"/>
              <w:numPr>
                <w:ilvl w:val="3"/>
                <w:numId w:val="28"/>
              </w:numPr>
              <w:spacing w:after="0"/>
              <w:contextualSpacing w:val="0"/>
              <w:rPr>
                <w:sz w:val="20"/>
                <w:szCs w:val="20"/>
              </w:rPr>
            </w:pPr>
            <w:r>
              <w:rPr>
                <w:sz w:val="20"/>
                <w:szCs w:val="20"/>
              </w:rPr>
              <w:t>when there is no adjacent in-band/out-of-band co-existence issue</w:t>
            </w:r>
          </w:p>
          <w:p w14:paraId="086EDCE7" w14:textId="77777777" w:rsidR="00967EE9" w:rsidRDefault="00967EE9" w:rsidP="00967EE9">
            <w:pPr>
              <w:pStyle w:val="af4"/>
              <w:widowControl w:val="0"/>
              <w:numPr>
                <w:ilvl w:val="3"/>
                <w:numId w:val="28"/>
              </w:numPr>
              <w:spacing w:after="0"/>
              <w:contextualSpacing w:val="0"/>
              <w:rPr>
                <w:sz w:val="20"/>
                <w:szCs w:val="20"/>
              </w:rPr>
            </w:pPr>
            <w:r>
              <w:rPr>
                <w:sz w:val="20"/>
                <w:szCs w:val="20"/>
              </w:rPr>
              <w:t>when a UE uses a narrower channel bandwidth within a wider BS bandwidth</w:t>
            </w:r>
          </w:p>
          <w:p w14:paraId="201D48C9" w14:textId="77777777" w:rsidR="00967EE9" w:rsidRDefault="00967EE9" w:rsidP="00967EE9">
            <w:pPr>
              <w:pStyle w:val="af4"/>
              <w:widowControl w:val="0"/>
              <w:numPr>
                <w:ilvl w:val="2"/>
                <w:numId w:val="28"/>
              </w:numPr>
              <w:spacing w:after="0"/>
              <w:contextualSpacing w:val="0"/>
              <w:rPr>
                <w:sz w:val="20"/>
                <w:szCs w:val="20"/>
              </w:rPr>
            </w:pPr>
            <w:r>
              <w:rPr>
                <w:sz w:val="20"/>
                <w:szCs w:val="20"/>
              </w:rPr>
              <w:t>Include both (e)RedCap UE (only PC3) and non-RedCap UE</w:t>
            </w:r>
          </w:p>
          <w:p w14:paraId="1E7E09B5" w14:textId="77777777" w:rsidR="00967EE9" w:rsidRDefault="00967EE9" w:rsidP="00967EE9">
            <w:pPr>
              <w:pStyle w:val="af4"/>
              <w:widowControl w:val="0"/>
              <w:numPr>
                <w:ilvl w:val="2"/>
                <w:numId w:val="28"/>
              </w:numPr>
              <w:spacing w:after="0"/>
              <w:contextualSpacing w:val="0"/>
              <w:rPr>
                <w:sz w:val="20"/>
                <w:szCs w:val="20"/>
              </w:rPr>
            </w:pPr>
            <w:r>
              <w:rPr>
                <w:sz w:val="20"/>
                <w:szCs w:val="20"/>
              </w:rPr>
              <w:t>Limited to QSPK and 16QAM</w:t>
            </w:r>
          </w:p>
          <w:p w14:paraId="6447318E" w14:textId="77777777" w:rsidR="00967EE9" w:rsidRDefault="00967EE9" w:rsidP="00967EE9">
            <w:pPr>
              <w:pStyle w:val="af4"/>
              <w:widowControl w:val="0"/>
              <w:numPr>
                <w:ilvl w:val="1"/>
                <w:numId w:val="28"/>
              </w:numPr>
              <w:spacing w:after="0"/>
              <w:contextualSpacing w:val="0"/>
              <w:rPr>
                <w:sz w:val="20"/>
                <w:szCs w:val="20"/>
              </w:rPr>
            </w:pPr>
            <w:r>
              <w:rPr>
                <w:sz w:val="20"/>
                <w:szCs w:val="20"/>
              </w:rPr>
              <w:t>Specify MPR applicability based on the UL CCs with activated cells for NR intra-band UL CA configuration</w:t>
            </w:r>
          </w:p>
          <w:p w14:paraId="1A44F565" w14:textId="77777777" w:rsidR="00967EE9" w:rsidRDefault="00967EE9" w:rsidP="00967EE9">
            <w:pPr>
              <w:pStyle w:val="af4"/>
              <w:widowControl w:val="0"/>
              <w:numPr>
                <w:ilvl w:val="2"/>
                <w:numId w:val="28"/>
              </w:numPr>
              <w:spacing w:after="0"/>
              <w:contextualSpacing w:val="0"/>
              <w:rPr>
                <w:sz w:val="20"/>
                <w:szCs w:val="20"/>
              </w:rPr>
            </w:pPr>
            <w:r>
              <w:rPr>
                <w:sz w:val="20"/>
                <w:szCs w:val="20"/>
              </w:rPr>
              <w:t>Include both intra-band UL contiguous CA and intra-band non-contiguous UL CA for FR1</w:t>
            </w:r>
          </w:p>
          <w:p w14:paraId="6286F13E" w14:textId="77777777" w:rsidR="00967EE9" w:rsidRDefault="00967EE9" w:rsidP="00967EE9">
            <w:pPr>
              <w:pStyle w:val="af4"/>
              <w:widowControl w:val="0"/>
              <w:numPr>
                <w:ilvl w:val="2"/>
                <w:numId w:val="28"/>
              </w:numPr>
              <w:spacing w:after="0"/>
              <w:contextualSpacing w:val="0"/>
              <w:rPr>
                <w:sz w:val="20"/>
                <w:szCs w:val="20"/>
              </w:rPr>
            </w:pPr>
            <w:r>
              <w:rPr>
                <w:sz w:val="20"/>
                <w:szCs w:val="20"/>
              </w:rPr>
              <w:t>Include intra-band UL contiguous CA and intra-band DL contiguous CA with single UL for FR2</w:t>
            </w:r>
          </w:p>
          <w:p w14:paraId="6DE1B149" w14:textId="77777777" w:rsidR="00967EE9" w:rsidRDefault="00967EE9" w:rsidP="00967EE9">
            <w:pPr>
              <w:pStyle w:val="af4"/>
              <w:widowControl w:val="0"/>
              <w:numPr>
                <w:ilvl w:val="2"/>
                <w:numId w:val="28"/>
              </w:numPr>
              <w:spacing w:after="0"/>
              <w:contextualSpacing w:val="0"/>
              <w:rPr>
                <w:sz w:val="20"/>
                <w:szCs w:val="20"/>
              </w:rPr>
            </w:pPr>
            <w:r>
              <w:rPr>
                <w:sz w:val="20"/>
                <w:szCs w:val="20"/>
              </w:rPr>
              <w:t>MPR requirement is not applicable until the SCell is activated</w:t>
            </w:r>
          </w:p>
          <w:p w14:paraId="78C0F45C" w14:textId="5D474F83" w:rsidR="00CE088D" w:rsidRPr="00967EE9" w:rsidRDefault="00967EE9" w:rsidP="00967EE9">
            <w:pPr>
              <w:pStyle w:val="af4"/>
              <w:widowControl w:val="0"/>
              <w:numPr>
                <w:ilvl w:val="1"/>
                <w:numId w:val="28"/>
              </w:numPr>
              <w:contextualSpacing w:val="0"/>
              <w:rPr>
                <w:sz w:val="20"/>
                <w:szCs w:val="20"/>
              </w:rPr>
            </w:pPr>
            <w:r>
              <w:rPr>
                <w:sz w:val="20"/>
                <w:szCs w:val="20"/>
              </w:rPr>
              <w:t>Necessary signaling to support the above objectives</w:t>
            </w:r>
            <w:bookmarkEnd w:id="8"/>
          </w:p>
        </w:tc>
      </w:tr>
      <w:bookmarkEnd w:id="9"/>
    </w:tbl>
    <w:p w14:paraId="4102A1BA" w14:textId="77777777" w:rsidR="007A446C" w:rsidRDefault="007A446C" w:rsidP="007A446C">
      <w:pPr>
        <w:jc w:val="both"/>
        <w:rPr>
          <w:sz w:val="20"/>
          <w:szCs w:val="20"/>
          <w:lang w:eastAsia="zh-CN"/>
        </w:rPr>
      </w:pPr>
    </w:p>
    <w:p w14:paraId="34F5B31F" w14:textId="0E3BF4A5" w:rsidR="00CE088D" w:rsidRDefault="00EE3341" w:rsidP="008F2F98">
      <w:pPr>
        <w:jc w:val="both"/>
        <w:rPr>
          <w:sz w:val="20"/>
          <w:szCs w:val="20"/>
          <w:lang w:eastAsia="zh-CN"/>
        </w:rPr>
      </w:pPr>
      <w:r w:rsidRPr="00EE3341">
        <w:rPr>
          <w:sz w:val="20"/>
          <w:szCs w:val="20"/>
          <w:lang w:eastAsia="zh-CN"/>
        </w:rPr>
        <w:t xml:space="preserve">In this contribution, we provide our perspective on </w:t>
      </w:r>
      <w:r w:rsidR="0018357F" w:rsidRPr="0018357F">
        <w:rPr>
          <w:sz w:val="20"/>
          <w:szCs w:val="20"/>
          <w:lang w:eastAsia="zh-CN"/>
        </w:rPr>
        <w:t>power domain enhancement</w:t>
      </w:r>
      <w:r w:rsidR="00A56A9F" w:rsidRPr="00A56A9F">
        <w:rPr>
          <w:sz w:val="20"/>
          <w:szCs w:val="20"/>
          <w:lang w:eastAsia="zh-CN"/>
        </w:rPr>
        <w:t xml:space="preserve"> for NR single carrier</w:t>
      </w:r>
      <w:r w:rsidRPr="00EE3341">
        <w:rPr>
          <w:sz w:val="20"/>
          <w:szCs w:val="20"/>
          <w:lang w:eastAsia="zh-CN"/>
        </w:rPr>
        <w:t>.</w:t>
      </w:r>
    </w:p>
    <w:p w14:paraId="4F489D92" w14:textId="17F894E9" w:rsidR="00E85F3A" w:rsidRPr="00E85F3A" w:rsidRDefault="00D630A8" w:rsidP="00755315">
      <w:pPr>
        <w:pStyle w:val="1"/>
        <w:numPr>
          <w:ilvl w:val="0"/>
          <w:numId w:val="18"/>
        </w:numPr>
        <w:rPr>
          <w:rFonts w:cs="Arial"/>
        </w:rPr>
      </w:pPr>
      <w:r>
        <w:rPr>
          <w:rFonts w:cs="Arial"/>
        </w:rPr>
        <w:t xml:space="preserve">Operating scenarios </w:t>
      </w:r>
      <w:r w:rsidR="00BB00DE">
        <w:rPr>
          <w:rFonts w:cs="Arial"/>
        </w:rPr>
        <w:t>consideration</w:t>
      </w:r>
    </w:p>
    <w:p w14:paraId="302B6BE5" w14:textId="2DCC514E" w:rsidR="009037CF" w:rsidRPr="0090478D" w:rsidRDefault="00530264" w:rsidP="0090478D">
      <w:pPr>
        <w:jc w:val="both"/>
        <w:rPr>
          <w:sz w:val="20"/>
          <w:szCs w:val="20"/>
          <w:lang w:eastAsia="ko-KR"/>
        </w:rPr>
      </w:pPr>
      <w:bookmarkStart w:id="12" w:name="OLE_LINK60"/>
      <w:r w:rsidRPr="0090478D">
        <w:rPr>
          <w:sz w:val="20"/>
          <w:szCs w:val="20"/>
          <w:lang w:eastAsia="ko-KR"/>
        </w:rPr>
        <w:t>The study objective focuses on the following 2 operating scenarios</w:t>
      </w:r>
    </w:p>
    <w:p w14:paraId="15D141A0" w14:textId="77777777" w:rsidR="009037CF" w:rsidRDefault="009037CF" w:rsidP="0090478D">
      <w:pPr>
        <w:widowControl w:val="0"/>
        <w:jc w:val="both"/>
        <w:rPr>
          <w:sz w:val="20"/>
          <w:szCs w:val="20"/>
        </w:rPr>
      </w:pPr>
    </w:p>
    <w:p w14:paraId="10F76B8A" w14:textId="04EA55BF" w:rsidR="009037CF" w:rsidRPr="00755315" w:rsidRDefault="009037CF" w:rsidP="0090478D">
      <w:pPr>
        <w:pStyle w:val="af4"/>
        <w:widowControl w:val="0"/>
        <w:numPr>
          <w:ilvl w:val="0"/>
          <w:numId w:val="40"/>
        </w:numPr>
        <w:jc w:val="both"/>
        <w:rPr>
          <w:sz w:val="20"/>
          <w:szCs w:val="20"/>
        </w:rPr>
      </w:pPr>
      <w:r w:rsidRPr="00530264">
        <w:rPr>
          <w:sz w:val="20"/>
          <w:szCs w:val="20"/>
        </w:rPr>
        <w:t>W</w:t>
      </w:r>
      <w:r w:rsidRPr="00755315">
        <w:rPr>
          <w:sz w:val="20"/>
          <w:szCs w:val="20"/>
        </w:rPr>
        <w:t>hen a UE uses a narrower channel bandwidth within a wider BS bandwidth</w:t>
      </w:r>
      <w:r w:rsidR="00096F49" w:rsidRPr="00755315">
        <w:rPr>
          <w:sz w:val="20"/>
          <w:szCs w:val="20"/>
          <w:lang w:eastAsia="ko-KR"/>
        </w:rPr>
        <w:t xml:space="preserve"> </w:t>
      </w:r>
    </w:p>
    <w:p w14:paraId="4F6EF39B" w14:textId="340B8980" w:rsidR="009037CF" w:rsidRPr="0090478D" w:rsidRDefault="00126DAC" w:rsidP="0090478D">
      <w:pPr>
        <w:pStyle w:val="af4"/>
        <w:widowControl w:val="0"/>
        <w:numPr>
          <w:ilvl w:val="0"/>
          <w:numId w:val="40"/>
        </w:numPr>
        <w:jc w:val="both"/>
        <w:rPr>
          <w:sz w:val="20"/>
          <w:szCs w:val="20"/>
          <w:lang w:eastAsia="ko-KR"/>
        </w:rPr>
      </w:pPr>
      <w:r>
        <w:rPr>
          <w:sz w:val="20"/>
          <w:szCs w:val="20"/>
        </w:rPr>
        <w:t>W</w:t>
      </w:r>
      <w:r w:rsidR="009037CF">
        <w:rPr>
          <w:sz w:val="20"/>
          <w:szCs w:val="20"/>
        </w:rPr>
        <w:t>hen there is no adjacent in-band/out-of-band co-existence issue</w:t>
      </w:r>
    </w:p>
    <w:p w14:paraId="1CF18787" w14:textId="7F2E8C89" w:rsidR="00727530" w:rsidRPr="00755315" w:rsidRDefault="008C7043" w:rsidP="0090478D">
      <w:pPr>
        <w:pStyle w:val="2"/>
      </w:pPr>
      <w:r>
        <w:t>2.1</w:t>
      </w:r>
      <w:r>
        <w:tab/>
      </w:r>
      <w:r w:rsidR="00596DEF" w:rsidRPr="00755315">
        <w:t xml:space="preserve">Scenario 1: </w:t>
      </w:r>
      <w:r w:rsidR="00727530" w:rsidRPr="00755315">
        <w:t>Narrower UE channel BW within wider BS bandwidth</w:t>
      </w:r>
    </w:p>
    <w:p w14:paraId="78E9043B" w14:textId="39A6D415" w:rsidR="00727530" w:rsidRDefault="00727530" w:rsidP="0090478D">
      <w:pPr>
        <w:jc w:val="both"/>
        <w:rPr>
          <w:sz w:val="20"/>
          <w:szCs w:val="20"/>
          <w:lang w:eastAsia="ko-KR"/>
        </w:rPr>
      </w:pPr>
      <w:r>
        <w:rPr>
          <w:sz w:val="20"/>
          <w:szCs w:val="20"/>
          <w:lang w:eastAsia="ko-KR"/>
        </w:rPr>
        <w:t xml:space="preserve">In this type of operation, the adjacent channel of the UE may actually fall inside the same operator’s spectrum operated by the same Base Station. An obvious example of this is the Redcap UE, that supports a maximum channel bandwidth of 20MHz, but may operate under a Base Station carrier of </w:t>
      </w:r>
      <w:r w:rsidR="00E45990">
        <w:rPr>
          <w:sz w:val="20"/>
          <w:szCs w:val="20"/>
          <w:lang w:eastAsia="ko-KR"/>
        </w:rPr>
        <w:t xml:space="preserve">60MHz </w:t>
      </w:r>
      <w:r>
        <w:rPr>
          <w:sz w:val="20"/>
          <w:szCs w:val="20"/>
          <w:lang w:eastAsia="ko-KR"/>
        </w:rPr>
        <w:t>for example</w:t>
      </w:r>
      <w:r w:rsidR="00697F78">
        <w:rPr>
          <w:sz w:val="20"/>
          <w:szCs w:val="20"/>
          <w:lang w:eastAsia="ko-KR"/>
        </w:rPr>
        <w:t xml:space="preserve"> (especially likely in the case of TDD bands)</w:t>
      </w:r>
      <w:r>
        <w:rPr>
          <w:sz w:val="20"/>
          <w:szCs w:val="20"/>
          <w:lang w:eastAsia="ko-KR"/>
        </w:rPr>
        <w:t xml:space="preserve">. See figure </w:t>
      </w:r>
      <w:r w:rsidR="007217EA">
        <w:rPr>
          <w:sz w:val="20"/>
          <w:szCs w:val="20"/>
          <w:lang w:eastAsia="ko-KR"/>
        </w:rPr>
        <w:t xml:space="preserve">1 </w:t>
      </w:r>
      <w:r>
        <w:rPr>
          <w:sz w:val="20"/>
          <w:szCs w:val="20"/>
          <w:lang w:eastAsia="ko-KR"/>
        </w:rPr>
        <w:t>below.</w:t>
      </w:r>
    </w:p>
    <w:p w14:paraId="1E54427F" w14:textId="3CF8A933" w:rsidR="00727530" w:rsidRDefault="00CC1A64" w:rsidP="00CC1A64">
      <w:pPr>
        <w:jc w:val="center"/>
        <w:rPr>
          <w:sz w:val="20"/>
          <w:szCs w:val="20"/>
          <w:lang w:eastAsia="ko-KR"/>
        </w:rPr>
      </w:pPr>
      <w:r>
        <w:rPr>
          <w:noProof/>
          <w:sz w:val="20"/>
          <w:szCs w:val="20"/>
          <w:lang w:eastAsia="ko-KR"/>
        </w:rPr>
        <w:drawing>
          <wp:inline distT="0" distB="0" distL="0" distR="0" wp14:anchorId="14807FD8" wp14:editId="2398EE3F">
            <wp:extent cx="4800600" cy="1607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0" cy="1607820"/>
                    </a:xfrm>
                    <a:prstGeom prst="rect">
                      <a:avLst/>
                    </a:prstGeom>
                    <a:noFill/>
                    <a:ln>
                      <a:noFill/>
                    </a:ln>
                  </pic:spPr>
                </pic:pic>
              </a:graphicData>
            </a:graphic>
          </wp:inline>
        </w:drawing>
      </w:r>
    </w:p>
    <w:p w14:paraId="2187CDBE" w14:textId="54527245" w:rsidR="00727530" w:rsidRDefault="00727530" w:rsidP="00727530">
      <w:pPr>
        <w:jc w:val="center"/>
        <w:rPr>
          <w:rFonts w:eastAsiaTheme="minorEastAsia"/>
          <w:sz w:val="20"/>
          <w:szCs w:val="20"/>
          <w:lang w:val="en-GB"/>
        </w:rPr>
      </w:pPr>
    </w:p>
    <w:p w14:paraId="71ECB010" w14:textId="42568F26" w:rsidR="00727530" w:rsidRPr="0090478D" w:rsidRDefault="00727530" w:rsidP="00727530">
      <w:pPr>
        <w:jc w:val="center"/>
        <w:rPr>
          <w:rFonts w:asciiTheme="minorHAnsi" w:eastAsiaTheme="minorEastAsia" w:hAnsiTheme="minorHAnsi" w:cstheme="minorHAnsi"/>
          <w:b/>
          <w:bCs/>
          <w:sz w:val="20"/>
          <w:szCs w:val="20"/>
        </w:rPr>
      </w:pPr>
      <w:r w:rsidRPr="0090478D">
        <w:rPr>
          <w:rFonts w:asciiTheme="minorHAnsi" w:eastAsiaTheme="minorEastAsia" w:hAnsiTheme="minorHAnsi" w:cstheme="minorHAnsi"/>
          <w:b/>
          <w:bCs/>
          <w:sz w:val="20"/>
          <w:szCs w:val="20"/>
        </w:rPr>
        <w:t xml:space="preserve">Figure </w:t>
      </w:r>
      <w:r w:rsidR="007217EA" w:rsidRPr="0090478D">
        <w:rPr>
          <w:rFonts w:asciiTheme="minorHAnsi" w:eastAsiaTheme="minorEastAsia" w:hAnsiTheme="minorHAnsi" w:cstheme="minorHAnsi"/>
          <w:b/>
          <w:bCs/>
          <w:sz w:val="20"/>
          <w:szCs w:val="20"/>
        </w:rPr>
        <w:t>1:</w:t>
      </w:r>
      <w:r w:rsidRPr="0090478D">
        <w:rPr>
          <w:rFonts w:asciiTheme="minorHAnsi" w:eastAsiaTheme="minorEastAsia" w:hAnsiTheme="minorHAnsi" w:cstheme="minorHAnsi"/>
          <w:b/>
          <w:bCs/>
          <w:sz w:val="20"/>
          <w:szCs w:val="20"/>
        </w:rPr>
        <w:t xml:space="preserve"> Existing </w:t>
      </w:r>
      <w:r w:rsidR="00CC1A64" w:rsidRPr="0090478D">
        <w:rPr>
          <w:rFonts w:asciiTheme="minorHAnsi" w:eastAsiaTheme="minorEastAsia" w:hAnsiTheme="minorHAnsi" w:cstheme="minorHAnsi"/>
          <w:b/>
          <w:bCs/>
          <w:sz w:val="20"/>
          <w:szCs w:val="20"/>
        </w:rPr>
        <w:t>Tx emission requirements</w:t>
      </w:r>
      <w:r w:rsidRPr="0090478D">
        <w:rPr>
          <w:rFonts w:asciiTheme="minorHAnsi" w:eastAsiaTheme="minorEastAsia" w:hAnsiTheme="minorHAnsi" w:cstheme="minorHAnsi"/>
          <w:b/>
          <w:bCs/>
          <w:sz w:val="20"/>
          <w:szCs w:val="20"/>
        </w:rPr>
        <w:t xml:space="preserve"> for RedCap </w:t>
      </w:r>
    </w:p>
    <w:p w14:paraId="58FB8610" w14:textId="77777777" w:rsidR="00EA3E19" w:rsidRDefault="00582C8F" w:rsidP="0090478D">
      <w:pPr>
        <w:jc w:val="both"/>
        <w:rPr>
          <w:sz w:val="20"/>
          <w:szCs w:val="20"/>
        </w:rPr>
      </w:pPr>
      <w:bookmarkStart w:id="13" w:name="OLE_LINK75"/>
      <w:r>
        <w:rPr>
          <w:sz w:val="20"/>
          <w:szCs w:val="20"/>
        </w:rPr>
        <w:lastRenderedPageBreak/>
        <w:t xml:space="preserve">One of the comments received during discussions on the RedCap UE operating in wider channel use case was that it is possible that the UE channel bandwidth is located at the spectrum block edge in many cases, in order to free up as many contiguous RBs as possible for non-RedCap UEs, and that relaxing Tx emissions requirements may not be feasible there. </w:t>
      </w:r>
    </w:p>
    <w:p w14:paraId="3B6E5D1C" w14:textId="77777777" w:rsidR="00EA3E19" w:rsidRDefault="00EA3E19" w:rsidP="0090478D">
      <w:pPr>
        <w:jc w:val="both"/>
        <w:rPr>
          <w:sz w:val="20"/>
          <w:szCs w:val="20"/>
        </w:rPr>
      </w:pPr>
    </w:p>
    <w:p w14:paraId="361A5108" w14:textId="4452E6D5" w:rsidR="00727530" w:rsidRDefault="00582C8F" w:rsidP="0090478D">
      <w:pPr>
        <w:jc w:val="both"/>
        <w:rPr>
          <w:sz w:val="20"/>
          <w:szCs w:val="20"/>
        </w:rPr>
      </w:pPr>
      <w:r>
        <w:rPr>
          <w:sz w:val="20"/>
          <w:szCs w:val="20"/>
        </w:rPr>
        <w:t>However, this constraint would only apply on the outer edge of the operator’s spectrum block and applying a relaxation on the inner side of the spectrum block can still allow for reduced MPR, as long as the RB allocation is a partial RB allocation, with unused RBs creating a guardband between the transmitted RBs and the edge of the spectrum block on the outer side of the spectrum block.</w:t>
      </w:r>
    </w:p>
    <w:bookmarkEnd w:id="13"/>
    <w:p w14:paraId="4DEA457C" w14:textId="2F7886B5" w:rsidR="007217EA" w:rsidRDefault="007217EA" w:rsidP="0090478D">
      <w:pPr>
        <w:jc w:val="both"/>
        <w:rPr>
          <w:sz w:val="20"/>
          <w:szCs w:val="20"/>
        </w:rPr>
      </w:pPr>
    </w:p>
    <w:p w14:paraId="3DD48D5E" w14:textId="600D9E89" w:rsidR="007217EA" w:rsidRPr="00755315" w:rsidRDefault="007217EA" w:rsidP="0090478D">
      <w:pPr>
        <w:jc w:val="both"/>
        <w:rPr>
          <w:b/>
          <w:bCs/>
          <w:sz w:val="20"/>
          <w:szCs w:val="20"/>
        </w:rPr>
      </w:pPr>
      <w:bookmarkStart w:id="14" w:name="OLE_LINK76"/>
      <w:r w:rsidRPr="0090478D">
        <w:rPr>
          <w:b/>
          <w:bCs/>
          <w:sz w:val="20"/>
          <w:szCs w:val="20"/>
          <w:u w:val="single"/>
        </w:rPr>
        <w:t>Observation 1</w:t>
      </w:r>
      <w:r w:rsidRPr="00755315">
        <w:rPr>
          <w:b/>
          <w:bCs/>
          <w:sz w:val="20"/>
          <w:szCs w:val="20"/>
        </w:rPr>
        <w:t>: It is feasible and useful for RedCap UE to apply Tx emissions requirements relaxation</w:t>
      </w:r>
      <w:r w:rsidR="00697F78" w:rsidRPr="00755315">
        <w:rPr>
          <w:b/>
          <w:bCs/>
          <w:sz w:val="20"/>
          <w:szCs w:val="20"/>
        </w:rPr>
        <w:t xml:space="preserve"> inside a spectrum block </w:t>
      </w:r>
      <w:r w:rsidR="00697F78">
        <w:rPr>
          <w:b/>
          <w:bCs/>
          <w:sz w:val="20"/>
          <w:szCs w:val="20"/>
        </w:rPr>
        <w:t xml:space="preserve">&gt;20MHz </w:t>
      </w:r>
      <w:r w:rsidR="00697F78" w:rsidRPr="00755315">
        <w:rPr>
          <w:b/>
          <w:bCs/>
          <w:sz w:val="20"/>
          <w:szCs w:val="20"/>
        </w:rPr>
        <w:t>if MPR reduction can be achieved.</w:t>
      </w:r>
    </w:p>
    <w:bookmarkEnd w:id="14"/>
    <w:p w14:paraId="7125955E" w14:textId="77777777" w:rsidR="00582C8F" w:rsidRDefault="00582C8F" w:rsidP="0090478D">
      <w:pPr>
        <w:jc w:val="both"/>
        <w:rPr>
          <w:sz w:val="20"/>
          <w:szCs w:val="20"/>
          <w:lang w:eastAsia="ko-KR"/>
        </w:rPr>
      </w:pPr>
    </w:p>
    <w:p w14:paraId="1564C3F9" w14:textId="36A79174" w:rsidR="005D365E" w:rsidRDefault="005D365E" w:rsidP="0090478D">
      <w:pPr>
        <w:jc w:val="both"/>
        <w:rPr>
          <w:sz w:val="20"/>
          <w:szCs w:val="20"/>
          <w:lang w:val="en-GB"/>
        </w:rPr>
      </w:pPr>
      <w:r>
        <w:rPr>
          <w:sz w:val="20"/>
          <w:szCs w:val="20"/>
        </w:rPr>
        <w:t xml:space="preserve">For a non-RedCap UE operating a channel bandwidth &lt;100MHz, </w:t>
      </w:r>
      <w:r w:rsidR="001F22A7">
        <w:rPr>
          <w:sz w:val="20"/>
          <w:szCs w:val="20"/>
        </w:rPr>
        <w:t>UE Tx emissions relaxations</w:t>
      </w:r>
      <w:r>
        <w:rPr>
          <w:sz w:val="20"/>
          <w:szCs w:val="20"/>
        </w:rPr>
        <w:t xml:space="preserve"> can already apply</w:t>
      </w:r>
      <w:r w:rsidR="007C08DC">
        <w:rPr>
          <w:sz w:val="20"/>
          <w:szCs w:val="20"/>
        </w:rPr>
        <w:t xml:space="preserve"> based on existing requirements and functionality</w:t>
      </w:r>
      <w:r>
        <w:rPr>
          <w:sz w:val="20"/>
          <w:szCs w:val="20"/>
        </w:rPr>
        <w:t xml:space="preserve">. However, </w:t>
      </w:r>
      <w:r>
        <w:rPr>
          <w:sz w:val="20"/>
          <w:szCs w:val="20"/>
          <w:lang w:val="en-GB"/>
        </w:rPr>
        <w:t>there are some as</w:t>
      </w:r>
      <w:r w:rsidR="007C08DC">
        <w:rPr>
          <w:sz w:val="20"/>
          <w:szCs w:val="20"/>
          <w:lang w:val="en-GB"/>
        </w:rPr>
        <w:t>pe</w:t>
      </w:r>
      <w:r>
        <w:rPr>
          <w:sz w:val="20"/>
          <w:szCs w:val="20"/>
          <w:lang w:val="en-GB"/>
        </w:rPr>
        <w:t>cts that is not clearly specified today and would be useful to clarify during this study, as detailed in the following questions:</w:t>
      </w:r>
    </w:p>
    <w:p w14:paraId="55BEE0ED" w14:textId="77777777" w:rsidR="005D365E" w:rsidRDefault="005D365E" w:rsidP="0090478D">
      <w:pPr>
        <w:pStyle w:val="af4"/>
        <w:numPr>
          <w:ilvl w:val="0"/>
          <w:numId w:val="44"/>
        </w:numPr>
        <w:jc w:val="both"/>
        <w:rPr>
          <w:sz w:val="20"/>
          <w:szCs w:val="20"/>
          <w:lang w:val="en-GB"/>
        </w:rPr>
      </w:pPr>
      <w:r>
        <w:rPr>
          <w:sz w:val="20"/>
          <w:szCs w:val="20"/>
          <w:lang w:val="en-GB"/>
        </w:rPr>
        <w:t>If UE is configured with a BWP of e.g. 20MHz and a channel bandwidth of 40MHz, do the 40MHz channel bandwidth requirements apply?</w:t>
      </w:r>
    </w:p>
    <w:p w14:paraId="16C7CA27" w14:textId="77777777" w:rsidR="005D365E" w:rsidRDefault="005D365E" w:rsidP="0090478D">
      <w:pPr>
        <w:pStyle w:val="af4"/>
        <w:numPr>
          <w:ilvl w:val="0"/>
          <w:numId w:val="44"/>
        </w:numPr>
        <w:jc w:val="both"/>
        <w:rPr>
          <w:sz w:val="20"/>
          <w:szCs w:val="20"/>
          <w:lang w:val="en-GB"/>
        </w:rPr>
      </w:pPr>
      <w:r>
        <w:rPr>
          <w:sz w:val="20"/>
          <w:szCs w:val="20"/>
          <w:lang w:val="en-GB"/>
        </w:rPr>
        <w:t>If the UE is configured with a BWP of e.g. 20MHz and not configured with a dedicated channel bandwidth, but SIB1 indicates a Carrier Bandwidth of 40MHz, is the non-RedCap UE allowed to apply the 40MHz channel bandwidth requirements from the edge of the Carrier?</w:t>
      </w:r>
    </w:p>
    <w:p w14:paraId="09A2FCC8" w14:textId="77777777" w:rsidR="005D365E" w:rsidRDefault="005D365E" w:rsidP="0090478D">
      <w:pPr>
        <w:jc w:val="both"/>
        <w:rPr>
          <w:sz w:val="20"/>
          <w:szCs w:val="20"/>
          <w:lang w:val="en-GB"/>
        </w:rPr>
      </w:pPr>
    </w:p>
    <w:p w14:paraId="0EE4FF32" w14:textId="52BDA41E" w:rsidR="00697F78" w:rsidRDefault="005D365E" w:rsidP="0090478D">
      <w:pPr>
        <w:jc w:val="both"/>
        <w:rPr>
          <w:sz w:val="20"/>
          <w:szCs w:val="20"/>
          <w:lang w:val="en-GB"/>
        </w:rPr>
      </w:pPr>
      <w:r>
        <w:rPr>
          <w:sz w:val="20"/>
          <w:szCs w:val="20"/>
          <w:lang w:val="en-GB"/>
        </w:rPr>
        <w:t>Depending on the answer to the above questions, the requirements concepts and associated network signalling being studied in this SI may be applicable.</w:t>
      </w:r>
    </w:p>
    <w:p w14:paraId="3ADE8257" w14:textId="77777777" w:rsidR="005D365E" w:rsidRDefault="005D365E" w:rsidP="0090478D">
      <w:pPr>
        <w:jc w:val="both"/>
        <w:rPr>
          <w:sz w:val="20"/>
          <w:szCs w:val="20"/>
          <w:lang w:val="en-GB"/>
        </w:rPr>
      </w:pPr>
    </w:p>
    <w:p w14:paraId="7F9A5683" w14:textId="504DE385" w:rsidR="00727530" w:rsidRDefault="00727530" w:rsidP="0090478D">
      <w:pPr>
        <w:jc w:val="both"/>
        <w:rPr>
          <w:sz w:val="20"/>
          <w:szCs w:val="20"/>
          <w:lang w:eastAsia="ko-KR"/>
        </w:rPr>
      </w:pPr>
      <w:r>
        <w:rPr>
          <w:sz w:val="20"/>
          <w:szCs w:val="20"/>
          <w:lang w:eastAsia="ko-KR"/>
        </w:rPr>
        <w:t xml:space="preserve">Another potential scenario is that an operator’s spectrum block may be wider than 100MHz, in which case a similar scenario as for RedCap UE may </w:t>
      </w:r>
      <w:r w:rsidR="00225A57">
        <w:rPr>
          <w:sz w:val="20"/>
          <w:szCs w:val="20"/>
          <w:lang w:eastAsia="ko-KR"/>
        </w:rPr>
        <w:t xml:space="preserve">clearly </w:t>
      </w:r>
      <w:r>
        <w:rPr>
          <w:sz w:val="20"/>
          <w:szCs w:val="20"/>
          <w:lang w:eastAsia="ko-KR"/>
        </w:rPr>
        <w:t>occur for a UE operating 100MHz.</w:t>
      </w:r>
    </w:p>
    <w:p w14:paraId="571E503D" w14:textId="40F915B8" w:rsidR="00697F78" w:rsidRDefault="00697F78" w:rsidP="0090478D">
      <w:pPr>
        <w:jc w:val="both"/>
        <w:rPr>
          <w:sz w:val="20"/>
          <w:szCs w:val="20"/>
          <w:lang w:eastAsia="ko-KR"/>
        </w:rPr>
      </w:pPr>
    </w:p>
    <w:p w14:paraId="5619D42F" w14:textId="0084A194" w:rsidR="00697F78" w:rsidRDefault="00697F78" w:rsidP="0090478D">
      <w:pPr>
        <w:jc w:val="both"/>
        <w:rPr>
          <w:b/>
          <w:bCs/>
          <w:sz w:val="20"/>
          <w:szCs w:val="20"/>
          <w:lang w:eastAsia="ko-KR"/>
        </w:rPr>
      </w:pPr>
      <w:bookmarkStart w:id="15" w:name="OLE_LINK164"/>
      <w:bookmarkStart w:id="16" w:name="OLE_LINK77"/>
      <w:r w:rsidRPr="0090478D">
        <w:rPr>
          <w:b/>
          <w:bCs/>
          <w:sz w:val="20"/>
          <w:szCs w:val="20"/>
          <w:u w:val="single"/>
          <w:lang w:eastAsia="ko-KR"/>
        </w:rPr>
        <w:t>Observation 2</w:t>
      </w:r>
      <w:r w:rsidRPr="00755315">
        <w:rPr>
          <w:b/>
          <w:bCs/>
          <w:sz w:val="20"/>
          <w:szCs w:val="20"/>
          <w:lang w:eastAsia="ko-KR"/>
        </w:rPr>
        <w:t xml:space="preserve">: For a non-RedCap UE operating in a spectrum block &lt;100MHz, there is some flexibility today to enable relaxed emissions and tighter MPR via </w:t>
      </w:r>
      <w:r>
        <w:rPr>
          <w:b/>
          <w:bCs/>
          <w:sz w:val="20"/>
          <w:szCs w:val="20"/>
          <w:lang w:eastAsia="ko-KR"/>
        </w:rPr>
        <w:t>existing functions and requirements framework</w:t>
      </w:r>
      <w:r w:rsidRPr="00755315">
        <w:rPr>
          <w:b/>
          <w:bCs/>
          <w:sz w:val="20"/>
          <w:szCs w:val="20"/>
          <w:lang w:eastAsia="ko-KR"/>
        </w:rPr>
        <w:t>. However, some clarification would be useful in relation to BWP and CBW and applicability of requirements.</w:t>
      </w:r>
      <w:r>
        <w:rPr>
          <w:b/>
          <w:bCs/>
          <w:sz w:val="20"/>
          <w:szCs w:val="20"/>
          <w:lang w:eastAsia="ko-KR"/>
        </w:rPr>
        <w:t xml:space="preserve"> </w:t>
      </w:r>
    </w:p>
    <w:bookmarkEnd w:id="15"/>
    <w:p w14:paraId="7B374E34" w14:textId="13C01DE0" w:rsidR="00CC208A" w:rsidRDefault="00CC208A" w:rsidP="0090478D">
      <w:pPr>
        <w:jc w:val="both"/>
        <w:rPr>
          <w:b/>
          <w:bCs/>
          <w:sz w:val="20"/>
          <w:szCs w:val="20"/>
          <w:lang w:eastAsia="ko-KR"/>
        </w:rPr>
      </w:pPr>
    </w:p>
    <w:p w14:paraId="4C46D87D" w14:textId="5777883A" w:rsidR="00CC208A" w:rsidRDefault="00CC208A" w:rsidP="0090478D">
      <w:pPr>
        <w:jc w:val="both"/>
        <w:rPr>
          <w:b/>
          <w:bCs/>
          <w:sz w:val="20"/>
          <w:szCs w:val="20"/>
          <w:lang w:eastAsia="ko-KR"/>
        </w:rPr>
      </w:pPr>
      <w:bookmarkStart w:id="17" w:name="OLE_LINK168"/>
      <w:r w:rsidRPr="0090478D">
        <w:rPr>
          <w:b/>
          <w:bCs/>
          <w:sz w:val="20"/>
          <w:szCs w:val="20"/>
          <w:u w:val="single"/>
          <w:lang w:eastAsia="ko-KR"/>
        </w:rPr>
        <w:t>Proposal 1</w:t>
      </w:r>
      <w:r w:rsidRPr="000D0394">
        <w:rPr>
          <w:b/>
          <w:bCs/>
          <w:sz w:val="20"/>
          <w:szCs w:val="20"/>
          <w:lang w:eastAsia="ko-KR"/>
        </w:rPr>
        <w:t>:</w:t>
      </w:r>
      <w:r>
        <w:rPr>
          <w:b/>
          <w:bCs/>
          <w:sz w:val="20"/>
          <w:szCs w:val="20"/>
          <w:lang w:eastAsia="ko-KR"/>
        </w:rPr>
        <w:t xml:space="preserve"> Further clarify the Tx emissions requirements applicability in relation to BWP and Channel Bandwidth, in particular when no dedicated UE channel bandwidth is configured to the UE.</w:t>
      </w:r>
    </w:p>
    <w:bookmarkEnd w:id="17"/>
    <w:p w14:paraId="3DB6C30D" w14:textId="77777777" w:rsidR="00697F78" w:rsidRDefault="00697F78" w:rsidP="0090478D">
      <w:pPr>
        <w:jc w:val="both"/>
        <w:rPr>
          <w:b/>
          <w:bCs/>
          <w:sz w:val="20"/>
          <w:szCs w:val="20"/>
          <w:lang w:eastAsia="ko-KR"/>
        </w:rPr>
      </w:pPr>
    </w:p>
    <w:p w14:paraId="2EC2FA5A" w14:textId="50470096" w:rsidR="00697F78" w:rsidRPr="00755315" w:rsidRDefault="00697F78" w:rsidP="0090478D">
      <w:pPr>
        <w:jc w:val="both"/>
        <w:rPr>
          <w:b/>
          <w:bCs/>
          <w:sz w:val="20"/>
          <w:szCs w:val="20"/>
          <w:lang w:eastAsia="ko-KR"/>
        </w:rPr>
      </w:pPr>
      <w:bookmarkStart w:id="18" w:name="OLE_LINK165"/>
      <w:r w:rsidRPr="0090478D">
        <w:rPr>
          <w:b/>
          <w:bCs/>
          <w:sz w:val="20"/>
          <w:szCs w:val="20"/>
          <w:u w:val="single"/>
          <w:lang w:eastAsia="ko-KR"/>
        </w:rPr>
        <w:t>O</w:t>
      </w:r>
      <w:r w:rsidR="008C7043" w:rsidRPr="0090478D">
        <w:rPr>
          <w:b/>
          <w:bCs/>
          <w:sz w:val="20"/>
          <w:szCs w:val="20"/>
          <w:u w:val="single"/>
          <w:lang w:eastAsia="ko-KR"/>
        </w:rPr>
        <w:t>b</w:t>
      </w:r>
      <w:r w:rsidRPr="0090478D">
        <w:rPr>
          <w:b/>
          <w:bCs/>
          <w:sz w:val="20"/>
          <w:szCs w:val="20"/>
          <w:u w:val="single"/>
          <w:lang w:eastAsia="ko-KR"/>
        </w:rPr>
        <w:t>servation 3</w:t>
      </w:r>
      <w:r>
        <w:rPr>
          <w:b/>
          <w:bCs/>
          <w:sz w:val="20"/>
          <w:szCs w:val="20"/>
          <w:lang w:eastAsia="ko-KR"/>
        </w:rPr>
        <w:t>: For a non-RedCap UE operating in a spectrum block &gt;100MHz, emissions requirements relaxation appears to be feasible if sufficient to enable MPR reduction.</w:t>
      </w:r>
    </w:p>
    <w:bookmarkEnd w:id="16"/>
    <w:bookmarkEnd w:id="18"/>
    <w:p w14:paraId="5EF5DEE4" w14:textId="77777777" w:rsidR="00727530" w:rsidRDefault="00727530" w:rsidP="00727530">
      <w:pPr>
        <w:rPr>
          <w:sz w:val="20"/>
          <w:szCs w:val="20"/>
          <w:lang w:eastAsia="ko-KR"/>
        </w:rPr>
      </w:pPr>
    </w:p>
    <w:p w14:paraId="1974C20C" w14:textId="49B920F7" w:rsidR="00727530" w:rsidRPr="00755315" w:rsidRDefault="008C7043" w:rsidP="0090478D">
      <w:pPr>
        <w:pStyle w:val="2"/>
        <w:rPr>
          <w:lang w:eastAsia="ko-KR"/>
        </w:rPr>
      </w:pPr>
      <w:r>
        <w:t>2.2</w:t>
      </w:r>
      <w:r>
        <w:tab/>
      </w:r>
      <w:r w:rsidR="00596DEF" w:rsidRPr="00755315">
        <w:t xml:space="preserve">Scenario 2: </w:t>
      </w:r>
      <w:r w:rsidR="00727530" w:rsidRPr="00755315">
        <w:t>No adjacent in-band/out-of-band co-existence issue</w:t>
      </w:r>
      <w:r w:rsidR="00727530" w:rsidRPr="00755315">
        <w:rPr>
          <w:lang w:eastAsia="ko-KR"/>
        </w:rPr>
        <w:t xml:space="preserve"> </w:t>
      </w:r>
    </w:p>
    <w:p w14:paraId="2F450B72" w14:textId="77777777" w:rsidR="00727530" w:rsidRDefault="00727530" w:rsidP="0090478D">
      <w:pPr>
        <w:jc w:val="both"/>
        <w:rPr>
          <w:sz w:val="20"/>
          <w:szCs w:val="20"/>
          <w:lang w:eastAsia="ko-KR"/>
        </w:rPr>
      </w:pPr>
      <w:r>
        <w:rPr>
          <w:sz w:val="20"/>
          <w:szCs w:val="20"/>
          <w:lang w:eastAsia="ko-KR"/>
        </w:rPr>
        <w:t xml:space="preserve">One case here is that there may be where </w:t>
      </w:r>
      <w:r>
        <w:rPr>
          <w:b/>
          <w:bCs/>
          <w:sz w:val="20"/>
          <w:szCs w:val="20"/>
          <w:lang w:eastAsia="ko-KR"/>
        </w:rPr>
        <w:t>adjacent spectrum has not been designated for use by other services</w:t>
      </w:r>
      <w:r>
        <w:rPr>
          <w:sz w:val="20"/>
          <w:szCs w:val="20"/>
          <w:lang w:eastAsia="ko-KR"/>
        </w:rPr>
        <w:t>, and there is likely more regulatory impact/risk here.</w:t>
      </w:r>
    </w:p>
    <w:p w14:paraId="06D4DA07" w14:textId="77777777" w:rsidR="00727530" w:rsidRDefault="00727530" w:rsidP="0090478D">
      <w:pPr>
        <w:jc w:val="both"/>
        <w:rPr>
          <w:sz w:val="20"/>
          <w:szCs w:val="20"/>
          <w:lang w:eastAsia="ko-KR"/>
        </w:rPr>
      </w:pPr>
    </w:p>
    <w:p w14:paraId="5D6ED735" w14:textId="77777777" w:rsidR="0028367E" w:rsidRPr="00755315" w:rsidRDefault="0028367E" w:rsidP="0090478D">
      <w:pPr>
        <w:jc w:val="both"/>
        <w:rPr>
          <w:b/>
          <w:bCs/>
          <w:sz w:val="20"/>
          <w:szCs w:val="20"/>
          <w:lang w:eastAsia="ko-KR"/>
        </w:rPr>
      </w:pPr>
      <w:bookmarkStart w:id="19" w:name="OLE_LINK78"/>
      <w:r w:rsidRPr="0090478D">
        <w:rPr>
          <w:b/>
          <w:bCs/>
          <w:sz w:val="20"/>
          <w:szCs w:val="20"/>
          <w:u w:val="single"/>
          <w:lang w:eastAsia="ko-KR"/>
        </w:rPr>
        <w:t>Observation 4</w:t>
      </w:r>
      <w:r w:rsidRPr="00755315">
        <w:rPr>
          <w:b/>
          <w:bCs/>
          <w:sz w:val="20"/>
          <w:szCs w:val="20"/>
          <w:lang w:eastAsia="ko-KR"/>
        </w:rPr>
        <w:t>: In cases where adjacent spectrum outside of a block is not designated for other users/services, then it may be feasible to apply emission relaxation, subject to the specific regulatory requirements for that deployment.</w:t>
      </w:r>
    </w:p>
    <w:bookmarkEnd w:id="19"/>
    <w:p w14:paraId="2505AFEA" w14:textId="77777777" w:rsidR="0028367E" w:rsidRDefault="0028367E" w:rsidP="0090478D">
      <w:pPr>
        <w:jc w:val="both"/>
        <w:rPr>
          <w:sz w:val="20"/>
          <w:szCs w:val="20"/>
          <w:lang w:eastAsia="ko-KR"/>
        </w:rPr>
      </w:pPr>
    </w:p>
    <w:p w14:paraId="2EBCE834" w14:textId="502308A3" w:rsidR="00727530" w:rsidRDefault="00727530" w:rsidP="0090478D">
      <w:pPr>
        <w:jc w:val="both"/>
        <w:rPr>
          <w:sz w:val="20"/>
          <w:szCs w:val="20"/>
          <w:lang w:eastAsia="ko-KR"/>
        </w:rPr>
      </w:pPr>
      <w:r>
        <w:rPr>
          <w:sz w:val="20"/>
          <w:szCs w:val="20"/>
          <w:lang w:eastAsia="ko-KR"/>
        </w:rPr>
        <w:t xml:space="preserve">Another case is </w:t>
      </w:r>
      <w:r>
        <w:rPr>
          <w:b/>
          <w:bCs/>
          <w:sz w:val="20"/>
          <w:szCs w:val="20"/>
          <w:lang w:eastAsia="ko-KR"/>
        </w:rPr>
        <w:t xml:space="preserve">adjacent operators with coordinated deployments, such as in </w:t>
      </w:r>
      <w:r w:rsidR="008C7043">
        <w:rPr>
          <w:b/>
          <w:bCs/>
          <w:sz w:val="20"/>
          <w:szCs w:val="20"/>
          <w:lang w:eastAsia="ko-KR"/>
        </w:rPr>
        <w:t xml:space="preserve">multi-operator </w:t>
      </w:r>
      <w:r>
        <w:rPr>
          <w:b/>
          <w:bCs/>
          <w:sz w:val="20"/>
          <w:szCs w:val="20"/>
          <w:lang w:eastAsia="ko-KR"/>
        </w:rPr>
        <w:t>site/network sharing scenarios</w:t>
      </w:r>
      <w:r>
        <w:rPr>
          <w:sz w:val="20"/>
          <w:szCs w:val="20"/>
          <w:lang w:eastAsia="ko-KR"/>
        </w:rPr>
        <w:t xml:space="preserve">. This case is useful to consider because typically UE ACLR requirements are derived based on system impact of “uncoordinated” operation between adjacent operators. However, site/network sharing is becoming a growing deployment trend by mobile operators in order to save network </w:t>
      </w:r>
      <w:r w:rsidR="008D3718">
        <w:rPr>
          <w:sz w:val="20"/>
          <w:szCs w:val="20"/>
          <w:lang w:eastAsia="ko-KR"/>
        </w:rPr>
        <w:t xml:space="preserve">deployment/operational </w:t>
      </w:r>
      <w:r>
        <w:rPr>
          <w:sz w:val="20"/>
          <w:szCs w:val="20"/>
          <w:lang w:eastAsia="ko-KR"/>
        </w:rPr>
        <w:t>costs. Therefore, the question here would be whether “no coexistence issue” could be justified if operators have coordinated deployments.</w:t>
      </w:r>
    </w:p>
    <w:p w14:paraId="2024EC6F" w14:textId="77777777" w:rsidR="00727530" w:rsidRDefault="00727530" w:rsidP="0090478D">
      <w:pPr>
        <w:jc w:val="both"/>
        <w:rPr>
          <w:sz w:val="20"/>
          <w:szCs w:val="20"/>
          <w:lang w:eastAsia="ko-KR"/>
        </w:rPr>
      </w:pPr>
    </w:p>
    <w:p w14:paraId="438F141F" w14:textId="210BAB16" w:rsidR="00727530" w:rsidRDefault="00727530" w:rsidP="0090478D">
      <w:pPr>
        <w:jc w:val="both"/>
        <w:rPr>
          <w:sz w:val="20"/>
          <w:szCs w:val="20"/>
          <w:lang w:eastAsia="ko-KR"/>
        </w:rPr>
      </w:pPr>
      <w:r>
        <w:rPr>
          <w:sz w:val="20"/>
          <w:szCs w:val="20"/>
          <w:lang w:eastAsia="ko-KR"/>
        </w:rPr>
        <w:t xml:space="preserve">MediaTek has performed system-level coexistence simulations, using models based on those in TR 36.942, but with “coordinated” operation rather than “uncoordinated” operation. Initial results suggest that there </w:t>
      </w:r>
      <w:r w:rsidR="00575411">
        <w:rPr>
          <w:sz w:val="20"/>
          <w:szCs w:val="20"/>
          <w:lang w:eastAsia="ko-KR"/>
        </w:rPr>
        <w:t xml:space="preserve">could </w:t>
      </w:r>
      <w:r>
        <w:rPr>
          <w:sz w:val="20"/>
          <w:szCs w:val="20"/>
          <w:lang w:eastAsia="ko-KR"/>
        </w:rPr>
        <w:t>be room to relax UE ACLR requirements while still sufficiently protecting the adjacent operator system</w:t>
      </w:r>
      <w:r w:rsidR="00575411">
        <w:rPr>
          <w:sz w:val="20"/>
          <w:szCs w:val="20"/>
          <w:lang w:eastAsia="ko-KR"/>
        </w:rPr>
        <w:t>, as shown in Figure 2, where 0dB offset = 30dB</w:t>
      </w:r>
      <w:r>
        <w:rPr>
          <w:sz w:val="20"/>
          <w:szCs w:val="20"/>
          <w:lang w:eastAsia="ko-KR"/>
        </w:rPr>
        <w:t xml:space="preserve">. Whilst consideration of this operating case may be too much work for Rel-19, due to the need for a simulation campaign, we would be happy to </w:t>
      </w:r>
      <w:r w:rsidR="008D3718">
        <w:rPr>
          <w:sz w:val="20"/>
          <w:szCs w:val="20"/>
          <w:lang w:eastAsia="ko-KR"/>
        </w:rPr>
        <w:t>receive feedback from other companies</w:t>
      </w:r>
      <w:r w:rsidR="00575411">
        <w:rPr>
          <w:sz w:val="20"/>
          <w:szCs w:val="20"/>
          <w:lang w:eastAsia="ko-KR"/>
        </w:rPr>
        <w:t xml:space="preserve"> on this analysis</w:t>
      </w:r>
      <w:r w:rsidR="008D3718">
        <w:rPr>
          <w:sz w:val="20"/>
          <w:szCs w:val="20"/>
          <w:lang w:eastAsia="ko-KR"/>
        </w:rPr>
        <w:t>.</w:t>
      </w:r>
    </w:p>
    <w:p w14:paraId="6303D322" w14:textId="77777777" w:rsidR="00727530" w:rsidRDefault="00727530" w:rsidP="00727530">
      <w:pPr>
        <w:rPr>
          <w:sz w:val="20"/>
          <w:szCs w:val="20"/>
          <w:lang w:eastAsia="ko-KR"/>
        </w:rPr>
      </w:pPr>
    </w:p>
    <w:p w14:paraId="021D2D86" w14:textId="47D83428" w:rsidR="00727530" w:rsidRDefault="00475A3F" w:rsidP="008C2661">
      <w:pPr>
        <w:rPr>
          <w:sz w:val="20"/>
          <w:szCs w:val="20"/>
          <w:lang w:eastAsia="ko-KR"/>
        </w:rPr>
      </w:pPr>
      <w:r>
        <w:rPr>
          <w:noProof/>
          <w:sz w:val="20"/>
          <w:szCs w:val="20"/>
          <w:highlight w:val="yellow"/>
          <w:lang w:eastAsia="ko-KR"/>
        </w:rPr>
        <w:lastRenderedPageBreak/>
        <w:drawing>
          <wp:inline distT="0" distB="0" distL="0" distR="0" wp14:anchorId="6A165BE1" wp14:editId="2BF8FD25">
            <wp:extent cx="6118860" cy="2400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2400300"/>
                    </a:xfrm>
                    <a:prstGeom prst="rect">
                      <a:avLst/>
                    </a:prstGeom>
                    <a:noFill/>
                    <a:ln>
                      <a:noFill/>
                    </a:ln>
                  </pic:spPr>
                </pic:pic>
              </a:graphicData>
            </a:graphic>
          </wp:inline>
        </w:drawing>
      </w:r>
    </w:p>
    <w:p w14:paraId="4C55B95F" w14:textId="3ADD103D" w:rsidR="00475A3F" w:rsidRPr="0090478D" w:rsidRDefault="00475A3F" w:rsidP="0090478D">
      <w:pPr>
        <w:jc w:val="center"/>
        <w:rPr>
          <w:rFonts w:asciiTheme="minorHAnsi" w:hAnsiTheme="minorHAnsi" w:cstheme="minorHAnsi"/>
          <w:b/>
          <w:bCs/>
          <w:sz w:val="20"/>
          <w:szCs w:val="20"/>
          <w:lang w:eastAsia="ko-KR"/>
        </w:rPr>
      </w:pPr>
      <w:r w:rsidRPr="0090478D">
        <w:rPr>
          <w:rFonts w:asciiTheme="minorHAnsi" w:hAnsiTheme="minorHAnsi" w:cstheme="minorHAnsi"/>
          <w:b/>
          <w:bCs/>
          <w:sz w:val="20"/>
          <w:szCs w:val="20"/>
          <w:lang w:eastAsia="ko-KR"/>
        </w:rPr>
        <w:t xml:space="preserve">Figure 2: Initial </w:t>
      </w:r>
      <w:r w:rsidR="00575411" w:rsidRPr="0090478D">
        <w:rPr>
          <w:rFonts w:asciiTheme="minorHAnsi" w:hAnsiTheme="minorHAnsi" w:cstheme="minorHAnsi"/>
          <w:b/>
          <w:bCs/>
          <w:sz w:val="20"/>
          <w:szCs w:val="20"/>
          <w:lang w:eastAsia="ko-KR"/>
        </w:rPr>
        <w:t>analysis of</w:t>
      </w:r>
      <w:r w:rsidRPr="0090478D">
        <w:rPr>
          <w:rFonts w:asciiTheme="minorHAnsi" w:hAnsiTheme="minorHAnsi" w:cstheme="minorHAnsi"/>
          <w:b/>
          <w:bCs/>
          <w:sz w:val="20"/>
          <w:szCs w:val="20"/>
          <w:lang w:eastAsia="ko-KR"/>
        </w:rPr>
        <w:t xml:space="preserve"> Coordinated vs uncoordinated deployment ACIR, 2GHz non-AAS operation</w:t>
      </w:r>
    </w:p>
    <w:p w14:paraId="0B5BAA80" w14:textId="77777777" w:rsidR="00475A3F" w:rsidRDefault="00475A3F" w:rsidP="008C2661">
      <w:pPr>
        <w:rPr>
          <w:sz w:val="20"/>
          <w:szCs w:val="20"/>
          <w:lang w:eastAsia="ko-KR"/>
        </w:rPr>
      </w:pPr>
    </w:p>
    <w:p w14:paraId="47633846" w14:textId="77FF276C" w:rsidR="002D18EF" w:rsidRDefault="0028367E" w:rsidP="0090478D">
      <w:pPr>
        <w:jc w:val="both"/>
        <w:rPr>
          <w:b/>
          <w:bCs/>
          <w:sz w:val="20"/>
          <w:szCs w:val="20"/>
        </w:rPr>
      </w:pPr>
      <w:bookmarkStart w:id="20" w:name="OLE_LINK79"/>
      <w:bookmarkStart w:id="21" w:name="OLE_LINK166"/>
      <w:r w:rsidRPr="0090478D">
        <w:rPr>
          <w:b/>
          <w:bCs/>
          <w:sz w:val="20"/>
          <w:szCs w:val="20"/>
          <w:u w:val="single"/>
        </w:rPr>
        <w:t>Observation 5</w:t>
      </w:r>
      <w:r w:rsidRPr="00755315">
        <w:rPr>
          <w:b/>
          <w:bCs/>
          <w:sz w:val="20"/>
          <w:szCs w:val="20"/>
        </w:rPr>
        <w:t xml:space="preserve">: For coordinated deployments such as site/network sharing, initial results suggest that </w:t>
      </w:r>
      <w:r w:rsidR="00AD2C48">
        <w:rPr>
          <w:b/>
          <w:bCs/>
          <w:sz w:val="20"/>
          <w:szCs w:val="20"/>
        </w:rPr>
        <w:t xml:space="preserve">relaxed UE </w:t>
      </w:r>
      <w:r w:rsidRPr="00755315">
        <w:rPr>
          <w:b/>
          <w:bCs/>
          <w:sz w:val="20"/>
          <w:szCs w:val="20"/>
        </w:rPr>
        <w:t xml:space="preserve">Tx emissions requirements could be enabled </w:t>
      </w:r>
      <w:r w:rsidR="004C08A8" w:rsidRPr="00755315">
        <w:rPr>
          <w:b/>
          <w:bCs/>
          <w:sz w:val="20"/>
          <w:szCs w:val="20"/>
        </w:rPr>
        <w:t xml:space="preserve">whilst providing acceptable inter-operator coexistence. However regulatory aspects </w:t>
      </w:r>
      <w:r w:rsidR="004C08A8">
        <w:rPr>
          <w:b/>
          <w:bCs/>
          <w:sz w:val="20"/>
          <w:szCs w:val="20"/>
        </w:rPr>
        <w:t>have not yet been considered</w:t>
      </w:r>
      <w:r w:rsidR="004C08A8" w:rsidRPr="00755315">
        <w:rPr>
          <w:b/>
          <w:bCs/>
          <w:sz w:val="20"/>
          <w:szCs w:val="20"/>
        </w:rPr>
        <w:t>.</w:t>
      </w:r>
      <w:bookmarkEnd w:id="20"/>
    </w:p>
    <w:bookmarkEnd w:id="21"/>
    <w:p w14:paraId="2F2BF3A1" w14:textId="3D8BA8C2" w:rsidR="002D18EF" w:rsidRDefault="008C261E" w:rsidP="0090478D">
      <w:pPr>
        <w:pStyle w:val="2"/>
      </w:pPr>
      <w:r>
        <w:t>2.3</w:t>
      </w:r>
      <w:r>
        <w:tab/>
      </w:r>
      <w:r w:rsidR="002D18EF">
        <w:t xml:space="preserve">Network control and </w:t>
      </w:r>
      <w:r>
        <w:t>a</w:t>
      </w:r>
      <w:r w:rsidR="002D18EF">
        <w:t>dherence to regulations</w:t>
      </w:r>
    </w:p>
    <w:p w14:paraId="00A365C2" w14:textId="072FB923" w:rsidR="002D18EF" w:rsidRDefault="002D18EF" w:rsidP="0090478D">
      <w:pPr>
        <w:jc w:val="both"/>
        <w:rPr>
          <w:sz w:val="20"/>
          <w:szCs w:val="20"/>
          <w:lang w:eastAsia="ko-KR"/>
        </w:rPr>
      </w:pPr>
      <w:r>
        <w:rPr>
          <w:sz w:val="20"/>
          <w:szCs w:val="20"/>
          <w:lang w:eastAsia="ko-KR"/>
        </w:rPr>
        <w:t>Given that the feasibility of relaxations would depend on the operating scenario and possibly even the location/region where the UE is operating, it appears to be a fundamental requirement that the operation of any such UE Tx OOB/Spurious emissions relaxations are able to be controlled by the network, and may be allowed/disallowed per UE (e.g. via dedicated RRC signalling) or per cell (e.g. via broadcast signalling).</w:t>
      </w:r>
    </w:p>
    <w:p w14:paraId="4CDE3281" w14:textId="034460F3" w:rsidR="002D18EF" w:rsidRDefault="002D18EF" w:rsidP="0090478D">
      <w:pPr>
        <w:jc w:val="both"/>
        <w:rPr>
          <w:sz w:val="20"/>
          <w:szCs w:val="20"/>
          <w:lang w:eastAsia="ko-KR"/>
        </w:rPr>
      </w:pPr>
    </w:p>
    <w:p w14:paraId="7147F4D5" w14:textId="7DA8D52B" w:rsidR="002D18EF" w:rsidRPr="00755315" w:rsidRDefault="002D18EF" w:rsidP="0090478D">
      <w:pPr>
        <w:jc w:val="both"/>
        <w:rPr>
          <w:b/>
          <w:bCs/>
          <w:sz w:val="20"/>
          <w:szCs w:val="20"/>
        </w:rPr>
      </w:pPr>
      <w:bookmarkStart w:id="22" w:name="OLE_LINK80"/>
      <w:r w:rsidRPr="0090478D">
        <w:rPr>
          <w:b/>
          <w:bCs/>
          <w:sz w:val="20"/>
          <w:szCs w:val="20"/>
          <w:u w:val="single"/>
          <w:lang w:eastAsia="ko-KR"/>
        </w:rPr>
        <w:t>Observation 6</w:t>
      </w:r>
      <w:r w:rsidRPr="00755315">
        <w:rPr>
          <w:b/>
          <w:bCs/>
          <w:sz w:val="20"/>
          <w:szCs w:val="20"/>
          <w:lang w:eastAsia="ko-KR"/>
        </w:rPr>
        <w:t>: Network to UE signalling would be required to allow UE Tx emissions relaxations and applicable corresponding MPR improvement.</w:t>
      </w:r>
    </w:p>
    <w:bookmarkEnd w:id="22"/>
    <w:p w14:paraId="1C0BB358" w14:textId="3A96969C" w:rsidR="00727530" w:rsidRDefault="00596DEF" w:rsidP="00755315">
      <w:pPr>
        <w:pStyle w:val="1"/>
        <w:numPr>
          <w:ilvl w:val="0"/>
          <w:numId w:val="0"/>
        </w:numPr>
      </w:pPr>
      <w:r>
        <w:rPr>
          <w:lang w:val="en-US"/>
        </w:rPr>
        <w:t xml:space="preserve">3. </w:t>
      </w:r>
      <w:r w:rsidR="00D630A8">
        <w:t>Feasibility of Tx emissions and MPR requirements changes</w:t>
      </w:r>
    </w:p>
    <w:p w14:paraId="6B57A1F1" w14:textId="77CDEACA" w:rsidR="00596DEF" w:rsidRDefault="00596DEF" w:rsidP="00755315">
      <w:pPr>
        <w:pStyle w:val="2"/>
      </w:pPr>
      <w:r>
        <w:t>3.1 Tx emissions requirements relaxation</w:t>
      </w:r>
    </w:p>
    <w:p w14:paraId="579CFEE5" w14:textId="1BEC9CB4" w:rsidR="009037CF" w:rsidRDefault="00530264" w:rsidP="0090478D">
      <w:pPr>
        <w:jc w:val="both"/>
        <w:rPr>
          <w:sz w:val="20"/>
          <w:szCs w:val="20"/>
          <w:lang w:eastAsia="ko-KR"/>
        </w:rPr>
      </w:pPr>
      <w:r>
        <w:rPr>
          <w:sz w:val="20"/>
          <w:szCs w:val="20"/>
          <w:lang w:eastAsia="ko-KR"/>
        </w:rPr>
        <w:t>We analyse the UE Tx emissions requirements below, to identify relevant aspects and considerations on the acceptability for their relaxation in each scenario.</w:t>
      </w:r>
    </w:p>
    <w:p w14:paraId="24748DF4" w14:textId="77777777" w:rsidR="009037CF" w:rsidRPr="00755315" w:rsidRDefault="009037CF" w:rsidP="008C2661">
      <w:pPr>
        <w:rPr>
          <w:sz w:val="20"/>
          <w:szCs w:val="20"/>
          <w:lang w:eastAsia="ko-KR"/>
        </w:rPr>
      </w:pPr>
    </w:p>
    <w:p w14:paraId="1C2A983E" w14:textId="10D291C5" w:rsidR="008C2661" w:rsidRPr="00755315" w:rsidRDefault="008C2661" w:rsidP="0090478D">
      <w:pPr>
        <w:jc w:val="both"/>
        <w:rPr>
          <w:b/>
          <w:bCs/>
          <w:sz w:val="20"/>
          <w:szCs w:val="20"/>
          <w:u w:val="single"/>
          <w:lang w:eastAsia="ko-KR"/>
        </w:rPr>
      </w:pPr>
      <w:r w:rsidRPr="00755315">
        <w:rPr>
          <w:b/>
          <w:bCs/>
          <w:sz w:val="20"/>
          <w:szCs w:val="20"/>
          <w:u w:val="single"/>
          <w:lang w:eastAsia="ko-KR"/>
        </w:rPr>
        <w:t>ACLR requirements</w:t>
      </w:r>
    </w:p>
    <w:p w14:paraId="7F180E45" w14:textId="2087084F" w:rsidR="00530264" w:rsidRDefault="008C2661" w:rsidP="0090478D">
      <w:pPr>
        <w:jc w:val="both"/>
        <w:rPr>
          <w:sz w:val="20"/>
          <w:szCs w:val="20"/>
          <w:lang w:eastAsia="ko-KR"/>
        </w:rPr>
      </w:pPr>
      <w:r>
        <w:rPr>
          <w:sz w:val="20"/>
          <w:szCs w:val="20"/>
          <w:lang w:eastAsia="ko-KR"/>
        </w:rPr>
        <w:t>ACLR has always been derived based on system level coexistence studies where the adjacent channel to the channel operated by the UE is assumed to be used by another mobile operator, and where that mobile operator has an “uncoordinated” deployment with respect to that of the operator serving the UE.</w:t>
      </w:r>
      <w:r w:rsidR="00596DEF">
        <w:rPr>
          <w:sz w:val="20"/>
          <w:szCs w:val="20"/>
          <w:lang w:eastAsia="ko-KR"/>
        </w:rPr>
        <w:t xml:space="preserve"> ACLR is mainly applicable only in 3GPP, and there is no clear 3GPP justification as to why UE ACLR requirements need to apply </w:t>
      </w:r>
      <w:r w:rsidR="00540F71">
        <w:rPr>
          <w:sz w:val="20"/>
          <w:szCs w:val="20"/>
          <w:lang w:eastAsia="ko-KR"/>
        </w:rPr>
        <w:t>whe</w:t>
      </w:r>
      <w:r w:rsidR="0087083F">
        <w:rPr>
          <w:sz w:val="20"/>
          <w:szCs w:val="20"/>
          <w:lang w:eastAsia="ko-KR"/>
        </w:rPr>
        <w:t>re today they would fall inside an</w:t>
      </w:r>
      <w:r w:rsidR="00596DEF">
        <w:rPr>
          <w:sz w:val="20"/>
          <w:szCs w:val="20"/>
          <w:lang w:eastAsia="ko-KR"/>
        </w:rPr>
        <w:t xml:space="preserve"> operator’s spectrum block, especially if the network operator has control of whether to apply the relaxation or not, and whereby in other types of configuration IBE requirements are deemed sufficient. In Japan, it does seem that UE ACLR is part of the regulatory framework, but not elsewhere. </w:t>
      </w:r>
    </w:p>
    <w:p w14:paraId="7CC8C2A2" w14:textId="3CDFC4F3" w:rsidR="00596DEF" w:rsidRDefault="00596DEF" w:rsidP="0090478D">
      <w:pPr>
        <w:jc w:val="both"/>
        <w:rPr>
          <w:sz w:val="20"/>
          <w:szCs w:val="20"/>
          <w:lang w:eastAsia="ko-KR"/>
        </w:rPr>
      </w:pPr>
    </w:p>
    <w:p w14:paraId="6456689C" w14:textId="7C5CB3C2" w:rsidR="00530264" w:rsidRPr="00755315" w:rsidRDefault="008C1686" w:rsidP="0090478D">
      <w:pPr>
        <w:jc w:val="both"/>
        <w:rPr>
          <w:b/>
          <w:bCs/>
          <w:sz w:val="20"/>
          <w:szCs w:val="20"/>
          <w:lang w:eastAsia="ko-KR"/>
        </w:rPr>
      </w:pPr>
      <w:bookmarkStart w:id="23" w:name="OLE_LINK81"/>
      <w:r w:rsidRPr="0090478D">
        <w:rPr>
          <w:b/>
          <w:bCs/>
          <w:sz w:val="20"/>
          <w:szCs w:val="20"/>
          <w:u w:val="single"/>
          <w:lang w:eastAsia="ko-KR"/>
        </w:rPr>
        <w:t xml:space="preserve">Observation </w:t>
      </w:r>
      <w:r w:rsidR="002D18EF" w:rsidRPr="0090478D">
        <w:rPr>
          <w:b/>
          <w:bCs/>
          <w:sz w:val="20"/>
          <w:szCs w:val="20"/>
          <w:u w:val="single"/>
          <w:lang w:eastAsia="ko-KR"/>
        </w:rPr>
        <w:t>7</w:t>
      </w:r>
      <w:r w:rsidRPr="00755315">
        <w:rPr>
          <w:b/>
          <w:bCs/>
          <w:sz w:val="20"/>
          <w:szCs w:val="20"/>
          <w:lang w:eastAsia="ko-KR"/>
        </w:rPr>
        <w:t>: I</w:t>
      </w:r>
      <w:r w:rsidR="00596DEF" w:rsidRPr="00755315">
        <w:rPr>
          <w:b/>
          <w:bCs/>
          <w:sz w:val="20"/>
          <w:szCs w:val="20"/>
          <w:lang w:eastAsia="ko-KR"/>
        </w:rPr>
        <w:t xml:space="preserve">t </w:t>
      </w:r>
      <w:r w:rsidR="00964A2A">
        <w:rPr>
          <w:b/>
          <w:bCs/>
          <w:sz w:val="20"/>
          <w:szCs w:val="20"/>
          <w:lang w:eastAsia="ko-KR"/>
        </w:rPr>
        <w:t>is</w:t>
      </w:r>
      <w:r w:rsidR="00596DEF" w:rsidRPr="00755315">
        <w:rPr>
          <w:b/>
          <w:bCs/>
          <w:sz w:val="20"/>
          <w:szCs w:val="20"/>
          <w:lang w:eastAsia="ko-KR"/>
        </w:rPr>
        <w:t xml:space="preserve"> feasible to allow operators to apply controlled relaxations to UE ACLR</w:t>
      </w:r>
      <w:r w:rsidR="001D1543" w:rsidRPr="00755315">
        <w:rPr>
          <w:b/>
          <w:bCs/>
          <w:sz w:val="20"/>
          <w:szCs w:val="20"/>
          <w:lang w:eastAsia="ko-KR"/>
        </w:rPr>
        <w:t xml:space="preserve"> </w:t>
      </w:r>
      <w:r w:rsidR="00540F71" w:rsidRPr="00755315">
        <w:rPr>
          <w:b/>
          <w:bCs/>
          <w:sz w:val="20"/>
          <w:szCs w:val="20"/>
          <w:lang w:eastAsia="ko-KR"/>
        </w:rPr>
        <w:t>if there are no impacts to other operators</w:t>
      </w:r>
      <w:r w:rsidR="00254A73">
        <w:rPr>
          <w:b/>
          <w:bCs/>
          <w:sz w:val="20"/>
          <w:szCs w:val="20"/>
          <w:lang w:eastAsia="ko-KR"/>
        </w:rPr>
        <w:t>, at least when operator’s own spectrum is immediately adjacent</w:t>
      </w:r>
      <w:r w:rsidR="00596DEF" w:rsidRPr="00755315">
        <w:rPr>
          <w:b/>
          <w:bCs/>
          <w:sz w:val="20"/>
          <w:szCs w:val="20"/>
          <w:lang w:eastAsia="ko-KR"/>
        </w:rPr>
        <w:t>.</w:t>
      </w:r>
    </w:p>
    <w:bookmarkEnd w:id="23"/>
    <w:p w14:paraId="29FEFBF8" w14:textId="77777777" w:rsidR="005D7082" w:rsidRDefault="005D7082" w:rsidP="0090478D">
      <w:pPr>
        <w:jc w:val="both"/>
        <w:rPr>
          <w:sz w:val="20"/>
          <w:szCs w:val="20"/>
          <w:lang w:eastAsia="ko-KR"/>
        </w:rPr>
      </w:pPr>
    </w:p>
    <w:p w14:paraId="5725C681" w14:textId="77777777" w:rsidR="005D7082" w:rsidRPr="00755315" w:rsidRDefault="005D7082" w:rsidP="0090478D">
      <w:pPr>
        <w:jc w:val="both"/>
        <w:rPr>
          <w:b/>
          <w:bCs/>
          <w:sz w:val="20"/>
          <w:szCs w:val="20"/>
          <w:u w:val="single"/>
          <w:lang w:eastAsia="ko-KR"/>
        </w:rPr>
      </w:pPr>
      <w:r w:rsidRPr="00755315">
        <w:rPr>
          <w:b/>
          <w:bCs/>
          <w:sz w:val="20"/>
          <w:szCs w:val="20"/>
          <w:u w:val="single"/>
          <w:lang w:eastAsia="ko-KR"/>
        </w:rPr>
        <w:t>SEM requirements</w:t>
      </w:r>
    </w:p>
    <w:p w14:paraId="367FDA17" w14:textId="1262E022" w:rsidR="008C2661" w:rsidRDefault="005D7082" w:rsidP="0090478D">
      <w:pPr>
        <w:jc w:val="both"/>
        <w:rPr>
          <w:sz w:val="20"/>
          <w:szCs w:val="20"/>
          <w:lang w:eastAsia="ko-KR"/>
        </w:rPr>
      </w:pPr>
      <w:r>
        <w:rPr>
          <w:sz w:val="20"/>
          <w:szCs w:val="20"/>
          <w:lang w:eastAsia="ko-KR"/>
        </w:rPr>
        <w:t xml:space="preserve">The </w:t>
      </w:r>
      <w:r w:rsidR="00596DEF">
        <w:rPr>
          <w:sz w:val="20"/>
          <w:szCs w:val="20"/>
          <w:lang w:eastAsia="ko-KR"/>
        </w:rPr>
        <w:t xml:space="preserve">NR UE </w:t>
      </w:r>
      <w:r>
        <w:rPr>
          <w:sz w:val="20"/>
          <w:szCs w:val="20"/>
          <w:lang w:eastAsia="ko-KR"/>
        </w:rPr>
        <w:t xml:space="preserve">SEM was adapted from the LTE </w:t>
      </w:r>
      <w:r w:rsidR="00596DEF">
        <w:rPr>
          <w:sz w:val="20"/>
          <w:szCs w:val="20"/>
          <w:lang w:eastAsia="ko-KR"/>
        </w:rPr>
        <w:t xml:space="preserve">UE </w:t>
      </w:r>
      <w:r>
        <w:rPr>
          <w:sz w:val="20"/>
          <w:szCs w:val="20"/>
          <w:lang w:eastAsia="ko-KR"/>
        </w:rPr>
        <w:t xml:space="preserve">SEM, in consideration of the OFDM-based waveform defined for NR. It generally scales with UE channel bandwidth. </w:t>
      </w:r>
      <w:r w:rsidR="00611A05">
        <w:rPr>
          <w:sz w:val="20"/>
          <w:szCs w:val="20"/>
          <w:lang w:eastAsia="ko-KR"/>
        </w:rPr>
        <w:t>The requirement is an absolute requirement to ensure certain emission performance, but clearly is most important to protect spectrum adjacent/proximal to the spectrum used by the NR system.</w:t>
      </w:r>
      <w:r w:rsidR="00596DEF">
        <w:rPr>
          <w:sz w:val="20"/>
          <w:szCs w:val="20"/>
          <w:lang w:eastAsia="ko-KR"/>
        </w:rPr>
        <w:t xml:space="preserve"> </w:t>
      </w:r>
      <w:r>
        <w:rPr>
          <w:sz w:val="20"/>
          <w:szCs w:val="20"/>
          <w:lang w:eastAsia="ko-KR"/>
        </w:rPr>
        <w:t xml:space="preserve">ITU-R Radio Regulations do not define a spectrum emission mask for the UE. </w:t>
      </w:r>
      <w:r w:rsidR="00574E50">
        <w:rPr>
          <w:sz w:val="20"/>
          <w:szCs w:val="20"/>
          <w:lang w:eastAsia="ko-KR"/>
        </w:rPr>
        <w:t>I</w:t>
      </w:r>
      <w:r>
        <w:rPr>
          <w:sz w:val="20"/>
          <w:szCs w:val="20"/>
          <w:lang w:eastAsia="ko-KR"/>
        </w:rPr>
        <w:t>n Europe (CEPT), the UE requirements have generally referred to 3GPP requirements for legacy systems, and for NR are still being finalized.</w:t>
      </w:r>
      <w:r w:rsidR="00611A05">
        <w:rPr>
          <w:sz w:val="20"/>
          <w:szCs w:val="20"/>
          <w:lang w:eastAsia="ko-KR"/>
        </w:rPr>
        <w:t xml:space="preserve"> </w:t>
      </w:r>
      <w:r w:rsidR="00574E50">
        <w:rPr>
          <w:sz w:val="20"/>
          <w:szCs w:val="20"/>
          <w:lang w:eastAsia="ko-KR"/>
        </w:rPr>
        <w:t>Applicability of UE SEM for other regions has not yet been analyzed.</w:t>
      </w:r>
    </w:p>
    <w:p w14:paraId="763D2229" w14:textId="2254665F" w:rsidR="00C37FBD" w:rsidRDefault="00C37FBD" w:rsidP="0090478D">
      <w:pPr>
        <w:jc w:val="both"/>
        <w:rPr>
          <w:sz w:val="20"/>
          <w:szCs w:val="20"/>
          <w:lang w:eastAsia="ko-KR"/>
        </w:rPr>
      </w:pPr>
    </w:p>
    <w:p w14:paraId="1AE81E82" w14:textId="6333C90A" w:rsidR="00C37FBD" w:rsidRDefault="00C37FBD" w:rsidP="0090478D">
      <w:pPr>
        <w:jc w:val="both"/>
        <w:rPr>
          <w:sz w:val="20"/>
          <w:szCs w:val="20"/>
          <w:lang w:eastAsia="ko-KR"/>
        </w:rPr>
      </w:pPr>
      <w:bookmarkStart w:id="24" w:name="OLE_LINK82"/>
      <w:r w:rsidRPr="0090478D">
        <w:rPr>
          <w:sz w:val="20"/>
          <w:szCs w:val="20"/>
          <w:lang w:eastAsia="ko-KR"/>
        </w:rPr>
        <w:t>Inside an operator’s spectrum block, for the same reasons given above, it would seem feasible to allow operators to apply a controlled relaxation of the UE SEM while still meeting IBE requirements</w:t>
      </w:r>
      <w:r w:rsidR="00540F71" w:rsidRPr="0090478D">
        <w:rPr>
          <w:sz w:val="20"/>
          <w:szCs w:val="20"/>
          <w:lang w:eastAsia="ko-KR"/>
        </w:rPr>
        <w:t xml:space="preserve"> if benefits are obtained from that, and there are regions where it would appear not to contravene regulations.</w:t>
      </w:r>
      <w:r w:rsidR="00540F71" w:rsidRPr="00755315">
        <w:rPr>
          <w:b/>
          <w:bCs/>
          <w:sz w:val="20"/>
          <w:szCs w:val="20"/>
          <w:lang w:eastAsia="ko-KR"/>
        </w:rPr>
        <w:t xml:space="preserve"> </w:t>
      </w:r>
      <w:r w:rsidR="00540F71" w:rsidRPr="0090478D">
        <w:rPr>
          <w:sz w:val="20"/>
          <w:szCs w:val="20"/>
          <w:lang w:eastAsia="ko-KR"/>
        </w:rPr>
        <w:t xml:space="preserve">Relaxation of SEM where the UE is operating at the spectrum block edge and </w:t>
      </w:r>
      <w:r w:rsidR="00254A73">
        <w:rPr>
          <w:sz w:val="20"/>
          <w:szCs w:val="20"/>
          <w:lang w:eastAsia="ko-KR"/>
        </w:rPr>
        <w:t xml:space="preserve">original </w:t>
      </w:r>
      <w:r w:rsidR="00540F71" w:rsidRPr="0090478D">
        <w:rPr>
          <w:sz w:val="20"/>
          <w:szCs w:val="20"/>
          <w:lang w:eastAsia="ko-KR"/>
        </w:rPr>
        <w:t xml:space="preserve">SEM is already outside of its block may </w:t>
      </w:r>
      <w:r w:rsidR="00254A73">
        <w:rPr>
          <w:sz w:val="20"/>
          <w:szCs w:val="20"/>
          <w:lang w:eastAsia="ko-KR"/>
        </w:rPr>
        <w:t>depend on regional regulations, but ITU-R is not restrictive even outside of the spectrum block</w:t>
      </w:r>
      <w:r w:rsidR="00540F71" w:rsidRPr="0090478D">
        <w:rPr>
          <w:sz w:val="20"/>
          <w:szCs w:val="20"/>
          <w:lang w:eastAsia="ko-KR"/>
        </w:rPr>
        <w:t>.</w:t>
      </w:r>
    </w:p>
    <w:p w14:paraId="7DF84103" w14:textId="03062707" w:rsidR="00254A73" w:rsidRDefault="00254A73" w:rsidP="0090478D">
      <w:pPr>
        <w:jc w:val="both"/>
        <w:rPr>
          <w:sz w:val="20"/>
          <w:szCs w:val="20"/>
          <w:lang w:eastAsia="ko-KR"/>
        </w:rPr>
      </w:pPr>
    </w:p>
    <w:p w14:paraId="1E13D704" w14:textId="712A8F8D" w:rsidR="00254A73" w:rsidRPr="00254A73" w:rsidRDefault="00254A73" w:rsidP="0090478D">
      <w:pPr>
        <w:jc w:val="both"/>
        <w:rPr>
          <w:b/>
          <w:bCs/>
          <w:sz w:val="20"/>
          <w:szCs w:val="20"/>
          <w:lang w:eastAsia="ko-KR"/>
        </w:rPr>
      </w:pPr>
      <w:bookmarkStart w:id="25" w:name="OLE_LINK167"/>
      <w:r w:rsidRPr="0090478D">
        <w:rPr>
          <w:b/>
          <w:bCs/>
          <w:sz w:val="20"/>
          <w:szCs w:val="20"/>
          <w:u w:val="single"/>
          <w:lang w:eastAsia="ko-KR"/>
        </w:rPr>
        <w:t>Observation 8</w:t>
      </w:r>
      <w:r w:rsidRPr="0090478D">
        <w:rPr>
          <w:b/>
          <w:bCs/>
          <w:sz w:val="20"/>
          <w:szCs w:val="20"/>
          <w:lang w:eastAsia="ko-KR"/>
        </w:rPr>
        <w:t xml:space="preserve">: </w:t>
      </w:r>
      <w:r w:rsidRPr="00254A73">
        <w:rPr>
          <w:b/>
          <w:bCs/>
          <w:sz w:val="20"/>
          <w:szCs w:val="20"/>
          <w:lang w:eastAsia="ko-KR"/>
        </w:rPr>
        <w:t xml:space="preserve">It is feasible to allow operators to apply controlled relaxations to UE </w:t>
      </w:r>
      <w:r w:rsidR="00FC0DB1">
        <w:rPr>
          <w:b/>
          <w:bCs/>
          <w:sz w:val="20"/>
          <w:szCs w:val="20"/>
          <w:lang w:eastAsia="ko-KR"/>
        </w:rPr>
        <w:t>SEM</w:t>
      </w:r>
      <w:r w:rsidRPr="00254A73">
        <w:rPr>
          <w:b/>
          <w:bCs/>
          <w:sz w:val="20"/>
          <w:szCs w:val="20"/>
          <w:lang w:eastAsia="ko-KR"/>
        </w:rPr>
        <w:t xml:space="preserve"> if there are no impacts to other operators, at least when operator’s own spectrum is immediately adjacent.</w:t>
      </w:r>
      <w:r>
        <w:rPr>
          <w:b/>
          <w:bCs/>
          <w:sz w:val="20"/>
          <w:szCs w:val="20"/>
          <w:lang w:eastAsia="ko-KR"/>
        </w:rPr>
        <w:t xml:space="preserve"> ITU recommendations are not restrictive even outside of the operator’s spectrum block.</w:t>
      </w:r>
    </w:p>
    <w:bookmarkEnd w:id="24"/>
    <w:bookmarkEnd w:id="25"/>
    <w:p w14:paraId="218266FC" w14:textId="22B5918A" w:rsidR="00596DEF" w:rsidRDefault="00596DEF" w:rsidP="008C2661">
      <w:pPr>
        <w:rPr>
          <w:sz w:val="20"/>
          <w:szCs w:val="20"/>
          <w:lang w:eastAsia="ko-KR"/>
        </w:rPr>
      </w:pPr>
    </w:p>
    <w:p w14:paraId="747FFDF8" w14:textId="0E8D7016" w:rsidR="005D7082" w:rsidRPr="00755315" w:rsidRDefault="005D7082" w:rsidP="0090478D">
      <w:pPr>
        <w:jc w:val="both"/>
        <w:rPr>
          <w:b/>
          <w:bCs/>
          <w:sz w:val="20"/>
          <w:szCs w:val="20"/>
          <w:u w:val="single"/>
          <w:lang w:eastAsia="ko-KR"/>
        </w:rPr>
      </w:pPr>
      <w:r w:rsidRPr="00755315">
        <w:rPr>
          <w:b/>
          <w:bCs/>
          <w:sz w:val="20"/>
          <w:szCs w:val="20"/>
          <w:u w:val="single"/>
          <w:lang w:eastAsia="ko-KR"/>
        </w:rPr>
        <w:t>Spurious Emission requirements</w:t>
      </w:r>
    </w:p>
    <w:p w14:paraId="6311B131" w14:textId="421D4FF5" w:rsidR="00574E50" w:rsidRDefault="00574E50" w:rsidP="0090478D">
      <w:pPr>
        <w:jc w:val="both"/>
        <w:rPr>
          <w:sz w:val="20"/>
          <w:szCs w:val="20"/>
          <w:lang w:eastAsia="ko-KR"/>
        </w:rPr>
      </w:pPr>
      <w:r>
        <w:rPr>
          <w:sz w:val="20"/>
          <w:szCs w:val="20"/>
          <w:lang w:eastAsia="ko-KR"/>
        </w:rPr>
        <w:t>Spurious Emission requirements apply from 250% of the centre frequency of the “necessary bandwidth” in ITU-R radio regulations</w:t>
      </w:r>
      <w:r w:rsidR="00E66DA9">
        <w:rPr>
          <w:sz w:val="20"/>
          <w:szCs w:val="20"/>
          <w:lang w:eastAsia="ko-KR"/>
        </w:rPr>
        <w:t xml:space="preserve"> (ITU REC SM.329/328). This has been used by 3GPP to derive UE Spurious Emission requirements. However, one difference is that 3GPP actually applies a “tighter” requirement than required by ITU, where the spurious emission actually starts from F</w:t>
      </w:r>
      <w:r w:rsidR="00E66DA9" w:rsidRPr="00755315">
        <w:rPr>
          <w:sz w:val="20"/>
          <w:szCs w:val="20"/>
          <w:vertAlign w:val="subscript"/>
          <w:lang w:eastAsia="ko-KR"/>
        </w:rPr>
        <w:t>OOB</w:t>
      </w:r>
      <w:r w:rsidR="00E66DA9">
        <w:rPr>
          <w:sz w:val="20"/>
          <w:szCs w:val="20"/>
          <w:lang w:eastAsia="ko-KR"/>
        </w:rPr>
        <w:t xml:space="preserve"> = 5MHz + (1.5 x UE CBW) from the centre of the channel. This was agreed based on the fact that the same ACLR requirements were applied for NR as for LTE, and it was determined that it would be “feasible” to apply spurious emissions from that point. Hence, if ACLR is now relaxed compared to existing levels, then the 3GPP Spurious Emission requirement should also be revisited.</w:t>
      </w:r>
      <w:r w:rsidR="005A45A4">
        <w:rPr>
          <w:sz w:val="20"/>
          <w:szCs w:val="20"/>
          <w:lang w:eastAsia="ko-KR"/>
        </w:rPr>
        <w:t xml:space="preserve"> However, it may not be feasible to relax requirements beyond what </w:t>
      </w:r>
      <w:r w:rsidR="00283D88">
        <w:rPr>
          <w:sz w:val="20"/>
          <w:szCs w:val="20"/>
          <w:lang w:eastAsia="ko-KR"/>
        </w:rPr>
        <w:t xml:space="preserve">REC </w:t>
      </w:r>
      <w:r w:rsidR="005A45A4">
        <w:rPr>
          <w:sz w:val="20"/>
          <w:szCs w:val="20"/>
          <w:lang w:eastAsia="ko-KR"/>
        </w:rPr>
        <w:t>SM.329 states.</w:t>
      </w:r>
    </w:p>
    <w:p w14:paraId="799148A3" w14:textId="559C7EDD" w:rsidR="00C96DF2" w:rsidRDefault="00C96DF2" w:rsidP="0090478D">
      <w:pPr>
        <w:jc w:val="both"/>
        <w:rPr>
          <w:sz w:val="20"/>
          <w:szCs w:val="20"/>
          <w:lang w:eastAsia="ko-KR"/>
        </w:rPr>
      </w:pPr>
    </w:p>
    <w:p w14:paraId="6FBBC29E" w14:textId="3EE158DC" w:rsidR="00C96DF2" w:rsidRPr="00755315" w:rsidRDefault="00C96DF2" w:rsidP="0090478D">
      <w:pPr>
        <w:jc w:val="both"/>
        <w:rPr>
          <w:b/>
          <w:bCs/>
          <w:sz w:val="20"/>
          <w:szCs w:val="20"/>
          <w:lang w:eastAsia="ko-KR"/>
        </w:rPr>
      </w:pPr>
      <w:bookmarkStart w:id="26" w:name="OLE_LINK83"/>
      <w:r w:rsidRPr="0090478D">
        <w:rPr>
          <w:b/>
          <w:bCs/>
          <w:sz w:val="20"/>
          <w:szCs w:val="20"/>
          <w:u w:val="single"/>
          <w:lang w:eastAsia="ko-KR"/>
        </w:rPr>
        <w:t xml:space="preserve">Observation </w:t>
      </w:r>
      <w:r w:rsidR="002D18EF" w:rsidRPr="0090478D">
        <w:rPr>
          <w:b/>
          <w:bCs/>
          <w:sz w:val="20"/>
          <w:szCs w:val="20"/>
          <w:u w:val="single"/>
          <w:lang w:eastAsia="ko-KR"/>
        </w:rPr>
        <w:t>9</w:t>
      </w:r>
      <w:r w:rsidRPr="00755315">
        <w:rPr>
          <w:b/>
          <w:bCs/>
          <w:sz w:val="20"/>
          <w:szCs w:val="20"/>
          <w:lang w:eastAsia="ko-KR"/>
        </w:rPr>
        <w:t xml:space="preserve">: </w:t>
      </w:r>
      <w:r w:rsidR="00964A2A">
        <w:rPr>
          <w:b/>
          <w:bCs/>
          <w:sz w:val="20"/>
          <w:szCs w:val="20"/>
          <w:lang w:eastAsia="ko-KR"/>
        </w:rPr>
        <w:t>Relaxation of UE s</w:t>
      </w:r>
      <w:r w:rsidRPr="00755315">
        <w:rPr>
          <w:b/>
          <w:bCs/>
          <w:sz w:val="20"/>
          <w:szCs w:val="20"/>
          <w:lang w:eastAsia="ko-KR"/>
        </w:rPr>
        <w:t xml:space="preserve">purious emission requirement </w:t>
      </w:r>
      <w:r w:rsidR="00964A2A">
        <w:rPr>
          <w:b/>
          <w:bCs/>
          <w:sz w:val="20"/>
          <w:szCs w:val="20"/>
          <w:lang w:eastAsia="ko-KR"/>
        </w:rPr>
        <w:t xml:space="preserve">is likely needed </w:t>
      </w:r>
      <w:r w:rsidRPr="00755315">
        <w:rPr>
          <w:b/>
          <w:bCs/>
          <w:sz w:val="20"/>
          <w:szCs w:val="20"/>
          <w:lang w:eastAsia="ko-KR"/>
        </w:rPr>
        <w:t xml:space="preserve">if other Tx emission requirements </w:t>
      </w:r>
      <w:r>
        <w:rPr>
          <w:b/>
          <w:bCs/>
          <w:sz w:val="20"/>
          <w:szCs w:val="20"/>
          <w:lang w:eastAsia="ko-KR"/>
        </w:rPr>
        <w:t xml:space="preserve">such as ACLR or SEM </w:t>
      </w:r>
      <w:r w:rsidRPr="00755315">
        <w:rPr>
          <w:b/>
          <w:bCs/>
          <w:sz w:val="20"/>
          <w:szCs w:val="20"/>
          <w:lang w:eastAsia="ko-KR"/>
        </w:rPr>
        <w:t xml:space="preserve">are relaxed, </w:t>
      </w:r>
      <w:r w:rsidR="00964A2A">
        <w:rPr>
          <w:b/>
          <w:bCs/>
          <w:sz w:val="20"/>
          <w:szCs w:val="20"/>
          <w:lang w:eastAsia="ko-KR"/>
        </w:rPr>
        <w:t>and this is feasible whilst still</w:t>
      </w:r>
      <w:r>
        <w:rPr>
          <w:b/>
          <w:bCs/>
          <w:sz w:val="20"/>
          <w:szCs w:val="20"/>
          <w:lang w:eastAsia="ko-KR"/>
        </w:rPr>
        <w:t xml:space="preserve"> </w:t>
      </w:r>
      <w:r w:rsidRPr="00755315">
        <w:rPr>
          <w:b/>
          <w:bCs/>
          <w:sz w:val="20"/>
          <w:szCs w:val="20"/>
          <w:lang w:eastAsia="ko-KR"/>
        </w:rPr>
        <w:t>adher</w:t>
      </w:r>
      <w:r w:rsidR="00964A2A">
        <w:rPr>
          <w:b/>
          <w:bCs/>
          <w:sz w:val="20"/>
          <w:szCs w:val="20"/>
          <w:lang w:eastAsia="ko-KR"/>
        </w:rPr>
        <w:t>ing</w:t>
      </w:r>
      <w:r w:rsidRPr="00755315">
        <w:rPr>
          <w:b/>
          <w:bCs/>
          <w:sz w:val="20"/>
          <w:szCs w:val="20"/>
          <w:lang w:eastAsia="ko-KR"/>
        </w:rPr>
        <w:t xml:space="preserve"> to ITU REC SM.329.</w:t>
      </w:r>
    </w:p>
    <w:bookmarkEnd w:id="26"/>
    <w:p w14:paraId="68A05597" w14:textId="6E742C64" w:rsidR="00DC00CA" w:rsidRPr="00755315" w:rsidRDefault="00DC00CA" w:rsidP="00755315">
      <w:pPr>
        <w:rPr>
          <w:sz w:val="20"/>
          <w:lang w:eastAsia="ko-KR"/>
        </w:rPr>
      </w:pPr>
    </w:p>
    <w:p w14:paraId="2541D34A" w14:textId="1257E3FF" w:rsidR="00CE088D" w:rsidRDefault="00BB00DE" w:rsidP="00CE088D">
      <w:pPr>
        <w:pStyle w:val="2"/>
        <w:ind w:left="576" w:firstLineChars="0" w:hanging="576"/>
        <w:rPr>
          <w:color w:val="000000" w:themeColor="text1"/>
        </w:rPr>
      </w:pPr>
      <w:r>
        <w:rPr>
          <w:lang w:val="en-US" w:eastAsia="ko-KR"/>
        </w:rPr>
        <w:t>3</w:t>
      </w:r>
      <w:r w:rsidR="008C2661">
        <w:rPr>
          <w:lang w:val="en-US" w:eastAsia="ko-KR"/>
        </w:rPr>
        <w:t>.</w:t>
      </w:r>
      <w:r w:rsidR="00305368">
        <w:rPr>
          <w:lang w:val="en-US" w:eastAsia="ko-KR"/>
        </w:rPr>
        <w:t>2</w:t>
      </w:r>
      <w:r w:rsidR="008C2661">
        <w:rPr>
          <w:lang w:val="en-US" w:eastAsia="ko-KR"/>
        </w:rPr>
        <w:tab/>
      </w:r>
      <w:r w:rsidR="00283D88">
        <w:rPr>
          <w:color w:val="000000" w:themeColor="text1"/>
        </w:rPr>
        <w:t>Relationship between ACLR/SEM and</w:t>
      </w:r>
      <w:r w:rsidR="00FE691E">
        <w:rPr>
          <w:color w:val="000000" w:themeColor="text1"/>
        </w:rPr>
        <w:t xml:space="preserve"> MPR</w:t>
      </w:r>
    </w:p>
    <w:p w14:paraId="3048FB89" w14:textId="3887D14C" w:rsidR="00FE691E" w:rsidRDefault="00FE691E" w:rsidP="0090478D">
      <w:pPr>
        <w:jc w:val="both"/>
        <w:rPr>
          <w:sz w:val="20"/>
          <w:szCs w:val="20"/>
        </w:rPr>
      </w:pPr>
      <w:bookmarkStart w:id="27" w:name="OLE_LINK67"/>
      <w:bookmarkEnd w:id="12"/>
      <w:r>
        <w:rPr>
          <w:sz w:val="20"/>
          <w:szCs w:val="20"/>
        </w:rPr>
        <w:t xml:space="preserve">MPR requirements for PC3 in clause 6.2.2 of TS 38.101-1 are split into requirements for Outer and Inner RB allocations. The rationale for such a split in requirements was motivated by the different limiting requirements driving MPR for each modulation scheme. From analysis in Rel-15, it has been shown that for ACLR/SEM is generally the limiting factor driving Outer RB allocation MPR requirements for QPSK and 16QAM. </w:t>
      </w:r>
      <w:r w:rsidR="00376FD7">
        <w:rPr>
          <w:sz w:val="20"/>
          <w:szCs w:val="20"/>
        </w:rPr>
        <w:t>For</w:t>
      </w:r>
      <w:r>
        <w:rPr>
          <w:sz w:val="20"/>
          <w:szCs w:val="20"/>
        </w:rPr>
        <w:t xml:space="preserve"> Inner RB allocations of QPSK and 16QAM, and all allocations for 64QAM and 256QAM, EVM was determined to be the limiting requirement.</w:t>
      </w:r>
      <w:r w:rsidR="007E0004">
        <w:rPr>
          <w:sz w:val="20"/>
          <w:szCs w:val="20"/>
        </w:rPr>
        <w:t xml:space="preserve"> It was also shown that wide RB allocations were typically more challenging to meet ACLR requirements, whereas narrow allocations (with high PSD) at the edge of the channel may instead be limited by SEM requirements.</w:t>
      </w:r>
    </w:p>
    <w:p w14:paraId="6E6FB927" w14:textId="4F1EFC36" w:rsidR="00FE691E" w:rsidRDefault="00FE691E" w:rsidP="0090478D">
      <w:pPr>
        <w:jc w:val="both"/>
        <w:rPr>
          <w:sz w:val="20"/>
          <w:szCs w:val="20"/>
        </w:rPr>
      </w:pPr>
    </w:p>
    <w:p w14:paraId="17CAF698" w14:textId="5412307C" w:rsidR="00587417" w:rsidRDefault="00FE691E" w:rsidP="0090478D">
      <w:pPr>
        <w:jc w:val="both"/>
        <w:rPr>
          <w:sz w:val="20"/>
          <w:szCs w:val="20"/>
        </w:rPr>
      </w:pPr>
      <w:r>
        <w:rPr>
          <w:sz w:val="20"/>
          <w:szCs w:val="20"/>
        </w:rPr>
        <w:t xml:space="preserve">The formulas for determining Inner RB allocations or Outer RB allocations in the same section show that </w:t>
      </w:r>
      <w:r w:rsidR="00587417">
        <w:rPr>
          <w:sz w:val="20"/>
          <w:szCs w:val="20"/>
        </w:rPr>
        <w:t>in general to be determined as an Inner RB allocation within a channel, the unused RBs either side need to be at least equal to half of the transmitted RBs (L</w:t>
      </w:r>
      <w:r w:rsidR="00587417" w:rsidRPr="00755315">
        <w:rPr>
          <w:sz w:val="20"/>
          <w:szCs w:val="20"/>
          <w:vertAlign w:val="subscript"/>
        </w:rPr>
        <w:t>CRB</w:t>
      </w:r>
      <w:r w:rsidR="00587417">
        <w:rPr>
          <w:sz w:val="20"/>
          <w:szCs w:val="20"/>
        </w:rPr>
        <w:t>). Therefore, the largest size of the L</w:t>
      </w:r>
      <w:r w:rsidR="00587417" w:rsidRPr="00755315">
        <w:rPr>
          <w:sz w:val="20"/>
          <w:szCs w:val="20"/>
          <w:vertAlign w:val="subscript"/>
        </w:rPr>
        <w:t>CRB</w:t>
      </w:r>
      <w:r w:rsidR="00587417">
        <w:rPr>
          <w:sz w:val="20"/>
          <w:szCs w:val="20"/>
        </w:rPr>
        <w:t xml:space="preserve"> that fulfils an inner RB allocation is approximately half of the N</w:t>
      </w:r>
      <w:r w:rsidR="00587417" w:rsidRPr="00755315">
        <w:rPr>
          <w:sz w:val="20"/>
          <w:szCs w:val="20"/>
          <w:vertAlign w:val="subscript"/>
        </w:rPr>
        <w:t>RB</w:t>
      </w:r>
      <w:r w:rsidR="00587417">
        <w:rPr>
          <w:sz w:val="20"/>
          <w:szCs w:val="20"/>
        </w:rPr>
        <w:t>. Whereas and L</w:t>
      </w:r>
      <w:r w:rsidR="00587417" w:rsidRPr="00755315">
        <w:rPr>
          <w:sz w:val="20"/>
          <w:szCs w:val="20"/>
          <w:vertAlign w:val="subscript"/>
        </w:rPr>
        <w:t>CRB</w:t>
      </w:r>
      <w:r w:rsidR="00587417">
        <w:rPr>
          <w:sz w:val="20"/>
          <w:szCs w:val="20"/>
        </w:rPr>
        <w:t xml:space="preserve"> &gt; N</w:t>
      </w:r>
      <w:r w:rsidR="00587417" w:rsidRPr="00755315">
        <w:rPr>
          <w:sz w:val="20"/>
          <w:szCs w:val="20"/>
          <w:vertAlign w:val="subscript"/>
        </w:rPr>
        <w:t>RB</w:t>
      </w:r>
      <w:r w:rsidR="00587417">
        <w:rPr>
          <w:sz w:val="20"/>
          <w:szCs w:val="20"/>
        </w:rPr>
        <w:t>/2 would be determined as an Outer RB allocation with more relaxed MPR requirements for QPSK and 16QAM, to allow ACLR</w:t>
      </w:r>
      <w:r w:rsidR="007E0004">
        <w:rPr>
          <w:sz w:val="20"/>
          <w:szCs w:val="20"/>
        </w:rPr>
        <w:t>/SEM</w:t>
      </w:r>
      <w:r w:rsidR="00587417">
        <w:rPr>
          <w:sz w:val="20"/>
          <w:szCs w:val="20"/>
        </w:rPr>
        <w:t xml:space="preserve"> requirements to be met.</w:t>
      </w:r>
    </w:p>
    <w:p w14:paraId="545F0165" w14:textId="5BC5540F" w:rsidR="00587417" w:rsidRDefault="00587417" w:rsidP="0090478D">
      <w:pPr>
        <w:jc w:val="both"/>
        <w:rPr>
          <w:sz w:val="20"/>
          <w:szCs w:val="20"/>
        </w:rPr>
      </w:pPr>
    </w:p>
    <w:p w14:paraId="3C36B185" w14:textId="7505E64C" w:rsidR="00587417" w:rsidRDefault="00587417" w:rsidP="0090478D">
      <w:pPr>
        <w:jc w:val="both"/>
        <w:rPr>
          <w:sz w:val="20"/>
          <w:szCs w:val="20"/>
        </w:rPr>
      </w:pPr>
      <w:r>
        <w:rPr>
          <w:sz w:val="20"/>
          <w:szCs w:val="20"/>
        </w:rPr>
        <w:t xml:space="preserve">Therefore, it can be </w:t>
      </w:r>
      <w:r w:rsidR="00376FD7">
        <w:rPr>
          <w:sz w:val="20"/>
          <w:szCs w:val="20"/>
        </w:rPr>
        <w:t>observed</w:t>
      </w:r>
      <w:r>
        <w:rPr>
          <w:sz w:val="20"/>
          <w:szCs w:val="20"/>
        </w:rPr>
        <w:t xml:space="preserve"> that</w:t>
      </w:r>
      <w:r w:rsidR="00376FD7">
        <w:rPr>
          <w:sz w:val="20"/>
          <w:szCs w:val="20"/>
        </w:rPr>
        <w:t>,</w:t>
      </w:r>
      <w:r>
        <w:rPr>
          <w:sz w:val="20"/>
          <w:szCs w:val="20"/>
        </w:rPr>
        <w:t xml:space="preserve"> </w:t>
      </w:r>
      <w:r w:rsidR="00376FD7">
        <w:rPr>
          <w:sz w:val="20"/>
          <w:szCs w:val="20"/>
        </w:rPr>
        <w:t xml:space="preserve">for a given RB allocation, the </w:t>
      </w:r>
      <w:r w:rsidR="007E0004">
        <w:rPr>
          <w:sz w:val="20"/>
          <w:szCs w:val="20"/>
        </w:rPr>
        <w:t xml:space="preserve">spectral </w:t>
      </w:r>
      <w:r w:rsidR="00376FD7">
        <w:rPr>
          <w:sz w:val="20"/>
          <w:szCs w:val="20"/>
        </w:rPr>
        <w:t xml:space="preserve">distance to the channel edge will determine what MPR is required to fulfil </w:t>
      </w:r>
      <w:r w:rsidR="007E0004">
        <w:rPr>
          <w:sz w:val="20"/>
          <w:szCs w:val="20"/>
        </w:rPr>
        <w:t>ACLR</w:t>
      </w:r>
      <w:r w:rsidR="000D0394">
        <w:rPr>
          <w:sz w:val="20"/>
          <w:szCs w:val="20"/>
        </w:rPr>
        <w:t>/SEM</w:t>
      </w:r>
      <w:r w:rsidR="00376FD7">
        <w:rPr>
          <w:sz w:val="20"/>
          <w:szCs w:val="20"/>
        </w:rPr>
        <w:t xml:space="preserve"> requirements.</w:t>
      </w:r>
    </w:p>
    <w:p w14:paraId="5DC58262" w14:textId="7D27CE01" w:rsidR="00376FD7" w:rsidRDefault="00376FD7" w:rsidP="0090478D">
      <w:pPr>
        <w:jc w:val="both"/>
        <w:rPr>
          <w:sz w:val="20"/>
          <w:szCs w:val="20"/>
        </w:rPr>
      </w:pPr>
    </w:p>
    <w:p w14:paraId="7B16E57C" w14:textId="4E19CF9A" w:rsidR="00376FD7" w:rsidRDefault="00376FD7" w:rsidP="00254A73">
      <w:pPr>
        <w:jc w:val="both"/>
        <w:rPr>
          <w:sz w:val="20"/>
          <w:szCs w:val="20"/>
        </w:rPr>
      </w:pPr>
      <w:r>
        <w:rPr>
          <w:sz w:val="20"/>
          <w:szCs w:val="20"/>
        </w:rPr>
        <w:t xml:space="preserve">It can also be observed that the maximum size of the Inner RB allocation (and associated distance </w:t>
      </w:r>
      <w:r w:rsidR="007E0004">
        <w:rPr>
          <w:sz w:val="20"/>
          <w:szCs w:val="20"/>
        </w:rPr>
        <w:t>to channel edge) will approximately scale with UE channel bandwidth. Hence a 40MHz channel bandwidth maximum Inner RB allocation is 108 RBs, which is similar to the N</w:t>
      </w:r>
      <w:r w:rsidR="007E0004" w:rsidRPr="0090478D">
        <w:rPr>
          <w:sz w:val="20"/>
          <w:szCs w:val="20"/>
          <w:vertAlign w:val="subscript"/>
        </w:rPr>
        <w:t>RB</w:t>
      </w:r>
      <w:r w:rsidR="007E0004">
        <w:rPr>
          <w:sz w:val="20"/>
          <w:szCs w:val="20"/>
        </w:rPr>
        <w:t xml:space="preserve"> (106 RBs) for 20MHz channel bandwidth.</w:t>
      </w:r>
      <w:r w:rsidR="00FC0EBD">
        <w:rPr>
          <w:sz w:val="20"/>
          <w:szCs w:val="20"/>
        </w:rPr>
        <w:t xml:space="preserve"> See figure below.</w:t>
      </w:r>
    </w:p>
    <w:p w14:paraId="1109DD93" w14:textId="7B22AE8F" w:rsidR="000D0394" w:rsidRDefault="000D0394" w:rsidP="00254A73">
      <w:pPr>
        <w:jc w:val="both"/>
        <w:rPr>
          <w:sz w:val="20"/>
          <w:szCs w:val="20"/>
        </w:rPr>
      </w:pPr>
    </w:p>
    <w:p w14:paraId="7C8FADAA" w14:textId="34E0A26E" w:rsidR="000D0394" w:rsidRDefault="00FC268C" w:rsidP="0090478D">
      <w:pPr>
        <w:jc w:val="center"/>
        <w:rPr>
          <w:sz w:val="20"/>
          <w:szCs w:val="20"/>
        </w:rPr>
      </w:pPr>
      <w:r>
        <w:rPr>
          <w:noProof/>
          <w:sz w:val="20"/>
          <w:szCs w:val="20"/>
        </w:rPr>
        <w:lastRenderedPageBreak/>
        <w:drawing>
          <wp:inline distT="0" distB="0" distL="0" distR="0" wp14:anchorId="240CE2F8" wp14:editId="3B7C9158">
            <wp:extent cx="3063240" cy="23545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3240" cy="2354580"/>
                    </a:xfrm>
                    <a:prstGeom prst="rect">
                      <a:avLst/>
                    </a:prstGeom>
                    <a:noFill/>
                    <a:ln>
                      <a:noFill/>
                    </a:ln>
                  </pic:spPr>
                </pic:pic>
              </a:graphicData>
            </a:graphic>
          </wp:inline>
        </w:drawing>
      </w:r>
    </w:p>
    <w:p w14:paraId="7D9A23BD" w14:textId="05DB6625" w:rsidR="007E0004" w:rsidRPr="0090478D" w:rsidRDefault="00FC268C" w:rsidP="0090478D">
      <w:pPr>
        <w:spacing w:before="120"/>
        <w:jc w:val="center"/>
        <w:rPr>
          <w:rFonts w:asciiTheme="minorHAnsi" w:hAnsiTheme="minorHAnsi" w:cstheme="minorHAnsi"/>
          <w:b/>
          <w:bCs/>
          <w:sz w:val="20"/>
          <w:szCs w:val="20"/>
        </w:rPr>
      </w:pPr>
      <w:r w:rsidRPr="0090478D">
        <w:rPr>
          <w:rFonts w:asciiTheme="minorHAnsi" w:hAnsiTheme="minorHAnsi" w:cstheme="minorHAnsi"/>
          <w:b/>
          <w:bCs/>
          <w:sz w:val="20"/>
          <w:szCs w:val="20"/>
        </w:rPr>
        <w:t>Figure 3: 20MHz vs 40MHz comparison of Full vs Inner allocation</w:t>
      </w:r>
    </w:p>
    <w:p w14:paraId="04AA9374" w14:textId="1EE7725B" w:rsidR="00C674FB" w:rsidRDefault="00C674FB" w:rsidP="00765A78">
      <w:pPr>
        <w:rPr>
          <w:sz w:val="20"/>
          <w:szCs w:val="20"/>
        </w:rPr>
      </w:pPr>
    </w:p>
    <w:p w14:paraId="301ABCCA" w14:textId="6CA38DE3" w:rsidR="00C674FB" w:rsidRPr="00755315" w:rsidRDefault="00C674FB" w:rsidP="0090478D">
      <w:pPr>
        <w:jc w:val="both"/>
        <w:rPr>
          <w:b/>
          <w:bCs/>
          <w:sz w:val="20"/>
          <w:szCs w:val="20"/>
        </w:rPr>
      </w:pPr>
      <w:bookmarkStart w:id="28" w:name="OLE_LINK84"/>
      <w:r w:rsidRPr="0090478D">
        <w:rPr>
          <w:b/>
          <w:bCs/>
          <w:sz w:val="20"/>
          <w:szCs w:val="20"/>
          <w:u w:val="single"/>
        </w:rPr>
        <w:t xml:space="preserve">Observation </w:t>
      </w:r>
      <w:r w:rsidR="002D18EF" w:rsidRPr="0090478D">
        <w:rPr>
          <w:b/>
          <w:bCs/>
          <w:sz w:val="20"/>
          <w:szCs w:val="20"/>
          <w:u w:val="single"/>
        </w:rPr>
        <w:t>10</w:t>
      </w:r>
      <w:r w:rsidRPr="00755315">
        <w:rPr>
          <w:b/>
          <w:bCs/>
          <w:sz w:val="20"/>
          <w:szCs w:val="20"/>
        </w:rPr>
        <w:t xml:space="preserve">: Shifting the starting frequency (channel edge) for Tx emissions requirements away from the first or last allocated RB </w:t>
      </w:r>
      <w:r w:rsidR="00FC0EBD">
        <w:rPr>
          <w:b/>
          <w:bCs/>
          <w:sz w:val="20"/>
          <w:szCs w:val="20"/>
        </w:rPr>
        <w:t>by</w:t>
      </w:r>
      <w:r w:rsidRPr="00755315">
        <w:rPr>
          <w:b/>
          <w:bCs/>
          <w:sz w:val="20"/>
          <w:szCs w:val="20"/>
        </w:rPr>
        <w:t xml:space="preserve"> a sufficient </w:t>
      </w:r>
      <w:r w:rsidR="00FC0DB1">
        <w:rPr>
          <w:b/>
          <w:bCs/>
          <w:sz w:val="20"/>
          <w:szCs w:val="20"/>
        </w:rPr>
        <w:t>amount</w:t>
      </w:r>
      <w:r w:rsidRPr="00755315">
        <w:rPr>
          <w:b/>
          <w:bCs/>
          <w:sz w:val="20"/>
          <w:szCs w:val="20"/>
        </w:rPr>
        <w:t xml:space="preserve"> can enable an Outer RB allocation to become equivalent to an Inner RB allocation from MPR perspective.</w:t>
      </w:r>
    </w:p>
    <w:bookmarkEnd w:id="28"/>
    <w:p w14:paraId="6DED6526" w14:textId="474E4855" w:rsidR="00DC00CA" w:rsidRDefault="00DC00CA" w:rsidP="0090478D">
      <w:pPr>
        <w:jc w:val="both"/>
        <w:rPr>
          <w:sz w:val="20"/>
          <w:szCs w:val="20"/>
        </w:rPr>
      </w:pPr>
    </w:p>
    <w:p w14:paraId="2139C384" w14:textId="3F3ABAB8" w:rsidR="00DC00CA" w:rsidRPr="0090478D" w:rsidRDefault="00DC00CA" w:rsidP="0090478D">
      <w:pPr>
        <w:jc w:val="both"/>
        <w:rPr>
          <w:b/>
          <w:bCs/>
          <w:sz w:val="20"/>
          <w:szCs w:val="20"/>
          <w:u w:val="single"/>
        </w:rPr>
      </w:pPr>
      <w:r w:rsidRPr="0090478D">
        <w:rPr>
          <w:b/>
          <w:bCs/>
          <w:sz w:val="20"/>
          <w:szCs w:val="20"/>
          <w:u w:val="single"/>
        </w:rPr>
        <w:t>Impact of relaxing ACLR without relaxing SEM/Spurious Emissions</w:t>
      </w:r>
    </w:p>
    <w:p w14:paraId="3954DCDC" w14:textId="5976897D" w:rsidR="00E07E6F" w:rsidRDefault="00DC00CA" w:rsidP="0090478D">
      <w:pPr>
        <w:jc w:val="both"/>
        <w:rPr>
          <w:sz w:val="20"/>
          <w:szCs w:val="20"/>
        </w:rPr>
      </w:pPr>
      <w:r>
        <w:rPr>
          <w:sz w:val="20"/>
          <w:szCs w:val="20"/>
        </w:rPr>
        <w:t xml:space="preserve">There is a high likelihood in trying to reduce MPR while only relaxing ACLR, there will be RB allocations where the UE meets the ACLR requirements but then becomes limited by the SEM requirement. This would lead to the situation where either RAN4 does not agree any relaxation at all, or </w:t>
      </w:r>
      <w:r w:rsidR="00E07E6F">
        <w:rPr>
          <w:sz w:val="20"/>
          <w:szCs w:val="20"/>
        </w:rPr>
        <w:t xml:space="preserve">RAN4 </w:t>
      </w:r>
      <w:r>
        <w:rPr>
          <w:sz w:val="20"/>
          <w:szCs w:val="20"/>
        </w:rPr>
        <w:t>has to identify all of the specific problematic RB allocations and identify exceptions for those. This would then lead to a more complicated process for the UE to identify which MPR is applicable for a given RB allocation</w:t>
      </w:r>
      <w:r w:rsidR="00E07E6F">
        <w:rPr>
          <w:sz w:val="20"/>
          <w:szCs w:val="20"/>
        </w:rPr>
        <w:t>.</w:t>
      </w:r>
    </w:p>
    <w:p w14:paraId="33856351" w14:textId="1F3FEB47" w:rsidR="00964A2A" w:rsidRDefault="00964A2A" w:rsidP="0090478D">
      <w:pPr>
        <w:jc w:val="both"/>
        <w:rPr>
          <w:sz w:val="20"/>
          <w:szCs w:val="20"/>
        </w:rPr>
      </w:pPr>
    </w:p>
    <w:p w14:paraId="7231B5E4" w14:textId="070DE1D9" w:rsidR="00964A2A" w:rsidRPr="00755315" w:rsidRDefault="00964A2A" w:rsidP="0090478D">
      <w:pPr>
        <w:jc w:val="both"/>
        <w:rPr>
          <w:b/>
          <w:bCs/>
          <w:sz w:val="20"/>
          <w:szCs w:val="20"/>
        </w:rPr>
      </w:pPr>
      <w:bookmarkStart w:id="29" w:name="OLE_LINK85"/>
      <w:r w:rsidRPr="0090478D">
        <w:rPr>
          <w:b/>
          <w:bCs/>
          <w:sz w:val="20"/>
          <w:szCs w:val="20"/>
          <w:u w:val="single"/>
        </w:rPr>
        <w:t>Observation 1</w:t>
      </w:r>
      <w:r w:rsidR="002D18EF" w:rsidRPr="0090478D">
        <w:rPr>
          <w:b/>
          <w:bCs/>
          <w:sz w:val="20"/>
          <w:szCs w:val="20"/>
          <w:u w:val="single"/>
        </w:rPr>
        <w:t>1</w:t>
      </w:r>
      <w:r w:rsidRPr="00755315">
        <w:rPr>
          <w:b/>
          <w:bCs/>
          <w:sz w:val="20"/>
          <w:szCs w:val="20"/>
        </w:rPr>
        <w:t>: Relaxing ACLR without relaxing SEM/Spurious emissions will likely have smaller MPR reduction, more RAN4 effort, more complex</w:t>
      </w:r>
      <w:r>
        <w:rPr>
          <w:b/>
          <w:bCs/>
          <w:sz w:val="20"/>
          <w:szCs w:val="20"/>
        </w:rPr>
        <w:t xml:space="preserve"> MPR rules</w:t>
      </w:r>
      <w:r w:rsidRPr="00755315">
        <w:rPr>
          <w:b/>
          <w:bCs/>
          <w:sz w:val="20"/>
          <w:szCs w:val="20"/>
        </w:rPr>
        <w:t xml:space="preserve">, and more complex real-time derivation of MPR by </w:t>
      </w:r>
      <w:r>
        <w:rPr>
          <w:b/>
          <w:bCs/>
          <w:sz w:val="20"/>
          <w:szCs w:val="20"/>
        </w:rPr>
        <w:t>UE.</w:t>
      </w:r>
    </w:p>
    <w:bookmarkEnd w:id="29"/>
    <w:p w14:paraId="3EBBA414" w14:textId="4554F40E" w:rsidR="00E07E6F" w:rsidRDefault="00BB00DE" w:rsidP="00E07E6F">
      <w:pPr>
        <w:pStyle w:val="2"/>
        <w:ind w:left="576" w:firstLineChars="0" w:hanging="576"/>
        <w:rPr>
          <w:color w:val="000000" w:themeColor="text1"/>
        </w:rPr>
      </w:pPr>
      <w:r>
        <w:rPr>
          <w:lang w:val="en-US" w:eastAsia="ko-KR"/>
        </w:rPr>
        <w:t>3</w:t>
      </w:r>
      <w:r w:rsidR="00E07E6F">
        <w:rPr>
          <w:lang w:val="en-US" w:eastAsia="ko-KR"/>
        </w:rPr>
        <w:t>.4</w:t>
      </w:r>
      <w:r w:rsidR="00E07E6F">
        <w:rPr>
          <w:lang w:val="en-US" w:eastAsia="ko-KR"/>
        </w:rPr>
        <w:tab/>
      </w:r>
      <w:r w:rsidR="00E41FBA">
        <w:rPr>
          <w:lang w:val="en-US" w:eastAsia="ko-KR"/>
        </w:rPr>
        <w:t>S</w:t>
      </w:r>
      <w:r w:rsidR="00305368">
        <w:rPr>
          <w:lang w:val="en-US" w:eastAsia="ko-KR"/>
        </w:rPr>
        <w:t>uggested s</w:t>
      </w:r>
      <w:r w:rsidR="00E41FBA">
        <w:rPr>
          <w:lang w:val="en-US" w:eastAsia="ko-KR"/>
        </w:rPr>
        <w:t xml:space="preserve">cope of </w:t>
      </w:r>
      <w:r w:rsidR="00E07E6F">
        <w:rPr>
          <w:color w:val="000000" w:themeColor="text1"/>
        </w:rPr>
        <w:t xml:space="preserve">MPR reduction </w:t>
      </w:r>
      <w:r w:rsidR="00283D88">
        <w:rPr>
          <w:color w:val="000000" w:themeColor="text1"/>
        </w:rPr>
        <w:t>vs</w:t>
      </w:r>
      <w:r w:rsidR="00E07E6F">
        <w:rPr>
          <w:color w:val="000000" w:themeColor="text1"/>
        </w:rPr>
        <w:t xml:space="preserve"> Power Boosting</w:t>
      </w:r>
    </w:p>
    <w:p w14:paraId="32A22CC7" w14:textId="3865DB69" w:rsidR="00305368" w:rsidRDefault="00E07E6F" w:rsidP="0090478D">
      <w:pPr>
        <w:jc w:val="both"/>
        <w:rPr>
          <w:sz w:val="20"/>
          <w:szCs w:val="20"/>
        </w:rPr>
      </w:pPr>
      <w:r>
        <w:rPr>
          <w:sz w:val="20"/>
          <w:szCs w:val="20"/>
        </w:rPr>
        <w:t>The study objective is somewhat vague on the real target</w:t>
      </w:r>
      <w:r w:rsidR="00305368">
        <w:rPr>
          <w:sz w:val="20"/>
          <w:szCs w:val="20"/>
        </w:rPr>
        <w:t xml:space="preserve"> for single carrier operation</w:t>
      </w:r>
      <w:r>
        <w:rPr>
          <w:sz w:val="20"/>
          <w:szCs w:val="20"/>
        </w:rPr>
        <w:t xml:space="preserve">. </w:t>
      </w:r>
      <w:r w:rsidR="00305368">
        <w:rPr>
          <w:sz w:val="20"/>
          <w:szCs w:val="20"/>
        </w:rPr>
        <w:t xml:space="preserve">Enabling MPR reduction of “outer RB allocation” MPR to achieve the same MPR level as “inner RB allocation” MPR for PC3 already brings UL Tx power gain of 1dB – 1.5dB depending on the waveform and modulation scheme used. This can be observed from Table 6.2.2-1 in TS 38.101-1. </w:t>
      </w:r>
    </w:p>
    <w:p w14:paraId="369F23C9" w14:textId="122CAB4B" w:rsidR="00964A2A" w:rsidRDefault="00964A2A" w:rsidP="00765A78">
      <w:pPr>
        <w:rPr>
          <w:sz w:val="20"/>
          <w:szCs w:val="20"/>
        </w:rPr>
      </w:pPr>
    </w:p>
    <w:p w14:paraId="56B4047B" w14:textId="5A233A7F" w:rsidR="00964A2A" w:rsidRPr="00755315" w:rsidRDefault="00964A2A" w:rsidP="0090478D">
      <w:pPr>
        <w:jc w:val="both"/>
        <w:rPr>
          <w:b/>
          <w:bCs/>
          <w:sz w:val="20"/>
          <w:szCs w:val="20"/>
        </w:rPr>
      </w:pPr>
      <w:bookmarkStart w:id="30" w:name="OLE_LINK86"/>
      <w:r w:rsidRPr="0090478D">
        <w:rPr>
          <w:b/>
          <w:bCs/>
          <w:sz w:val="20"/>
          <w:szCs w:val="20"/>
          <w:u w:val="single"/>
        </w:rPr>
        <w:t>Observation 1</w:t>
      </w:r>
      <w:r w:rsidR="002D18EF" w:rsidRPr="0090478D">
        <w:rPr>
          <w:b/>
          <w:bCs/>
          <w:sz w:val="20"/>
          <w:szCs w:val="20"/>
          <w:u w:val="single"/>
        </w:rPr>
        <w:t>2</w:t>
      </w:r>
      <w:r w:rsidRPr="00755315">
        <w:rPr>
          <w:b/>
          <w:bCs/>
          <w:sz w:val="20"/>
          <w:szCs w:val="20"/>
        </w:rPr>
        <w:t xml:space="preserve">: 1dB – 1.5dB MPR reduction </w:t>
      </w:r>
      <w:r w:rsidR="00C553DB">
        <w:rPr>
          <w:b/>
          <w:bCs/>
          <w:sz w:val="20"/>
          <w:szCs w:val="20"/>
        </w:rPr>
        <w:t xml:space="preserve">for Outer RB allocations </w:t>
      </w:r>
      <w:r w:rsidRPr="00755315">
        <w:rPr>
          <w:b/>
          <w:bCs/>
          <w:sz w:val="20"/>
          <w:szCs w:val="20"/>
        </w:rPr>
        <w:t xml:space="preserve">is achievable with sufficient Tx emission requirements relaxations, depending on waveform (DFT-S-OFDM or CP-OFDM) and modulation scheme (QPSK or 16QAM). </w:t>
      </w:r>
    </w:p>
    <w:bookmarkEnd w:id="30"/>
    <w:p w14:paraId="1FB9E8B7" w14:textId="77777777" w:rsidR="00305368" w:rsidRDefault="00305368" w:rsidP="0090478D">
      <w:pPr>
        <w:jc w:val="both"/>
        <w:rPr>
          <w:sz w:val="20"/>
          <w:szCs w:val="20"/>
        </w:rPr>
      </w:pPr>
    </w:p>
    <w:p w14:paraId="5F6DAB33" w14:textId="3CC33880" w:rsidR="00305368" w:rsidRDefault="00E07E6F" w:rsidP="0090478D">
      <w:pPr>
        <w:jc w:val="both"/>
        <w:rPr>
          <w:sz w:val="20"/>
          <w:szCs w:val="20"/>
        </w:rPr>
      </w:pPr>
      <w:r>
        <w:rPr>
          <w:sz w:val="20"/>
          <w:szCs w:val="20"/>
        </w:rPr>
        <w:t xml:space="preserve">It has </w:t>
      </w:r>
      <w:r w:rsidR="00305368">
        <w:rPr>
          <w:sz w:val="20"/>
          <w:szCs w:val="20"/>
        </w:rPr>
        <w:t xml:space="preserve">also </w:t>
      </w:r>
      <w:r>
        <w:rPr>
          <w:sz w:val="20"/>
          <w:szCs w:val="20"/>
        </w:rPr>
        <w:t>been shown in section 2.3 that if we try to improve MPR beyond what the inner RB allocation requires today, or even boost the power beyond 0 dB MPR, then there will need to be analysis on which of &lt;ACLR, SEM, EVM&gt; is the bottleneck in limiting the maximum output power</w:t>
      </w:r>
      <w:r w:rsidR="00305368">
        <w:rPr>
          <w:sz w:val="20"/>
          <w:szCs w:val="20"/>
        </w:rPr>
        <w:t>, and a lot of time was spent looking at this with the result of 1dB gain already in Rel-18</w:t>
      </w:r>
      <w:r>
        <w:rPr>
          <w:sz w:val="20"/>
          <w:szCs w:val="20"/>
        </w:rPr>
        <w:t xml:space="preserve">. </w:t>
      </w:r>
      <w:r w:rsidR="00305368">
        <w:rPr>
          <w:sz w:val="20"/>
          <w:szCs w:val="20"/>
        </w:rPr>
        <w:t>Doing the same type of analysis again will result in a lot of work for RAN4.</w:t>
      </w:r>
    </w:p>
    <w:p w14:paraId="285B5F11" w14:textId="545ADD7A" w:rsidR="00C553DB" w:rsidRDefault="00C553DB" w:rsidP="0090478D">
      <w:pPr>
        <w:jc w:val="both"/>
        <w:rPr>
          <w:sz w:val="20"/>
          <w:szCs w:val="20"/>
        </w:rPr>
      </w:pPr>
    </w:p>
    <w:p w14:paraId="3CEF640B" w14:textId="424DC576" w:rsidR="00C553DB" w:rsidRPr="00755315" w:rsidRDefault="00C553DB" w:rsidP="0090478D">
      <w:pPr>
        <w:jc w:val="both"/>
        <w:rPr>
          <w:b/>
          <w:bCs/>
          <w:sz w:val="20"/>
          <w:szCs w:val="20"/>
        </w:rPr>
      </w:pPr>
      <w:bookmarkStart w:id="31" w:name="OLE_LINK87"/>
      <w:r w:rsidRPr="0090478D">
        <w:rPr>
          <w:b/>
          <w:bCs/>
          <w:sz w:val="20"/>
          <w:szCs w:val="20"/>
          <w:u w:val="single"/>
        </w:rPr>
        <w:t>Observation 1</w:t>
      </w:r>
      <w:r w:rsidR="002D18EF" w:rsidRPr="0090478D">
        <w:rPr>
          <w:b/>
          <w:bCs/>
          <w:sz w:val="20"/>
          <w:szCs w:val="20"/>
          <w:u w:val="single"/>
        </w:rPr>
        <w:t>3</w:t>
      </w:r>
      <w:r w:rsidRPr="00755315">
        <w:rPr>
          <w:b/>
          <w:bCs/>
          <w:sz w:val="20"/>
          <w:szCs w:val="20"/>
        </w:rPr>
        <w:t xml:space="preserve">: Aiming to reduce MPR lower than that of the inner RB allocation will lead to much more RAN4 work to identify the </w:t>
      </w:r>
      <w:r w:rsidR="00181AD3">
        <w:rPr>
          <w:b/>
          <w:bCs/>
          <w:sz w:val="20"/>
          <w:szCs w:val="20"/>
        </w:rPr>
        <w:t xml:space="preserve">requirement </w:t>
      </w:r>
      <w:r w:rsidRPr="00755315">
        <w:rPr>
          <w:b/>
          <w:bCs/>
          <w:sz w:val="20"/>
          <w:szCs w:val="20"/>
        </w:rPr>
        <w:t xml:space="preserve">bottlenecks and </w:t>
      </w:r>
      <w:r>
        <w:rPr>
          <w:b/>
          <w:bCs/>
          <w:sz w:val="20"/>
          <w:szCs w:val="20"/>
        </w:rPr>
        <w:t>would full</w:t>
      </w:r>
      <w:r w:rsidR="00181AD3">
        <w:rPr>
          <w:b/>
          <w:bCs/>
          <w:sz w:val="20"/>
          <w:szCs w:val="20"/>
        </w:rPr>
        <w:t>y</w:t>
      </w:r>
      <w:r>
        <w:rPr>
          <w:b/>
          <w:bCs/>
          <w:sz w:val="20"/>
          <w:szCs w:val="20"/>
        </w:rPr>
        <w:t xml:space="preserve"> or partially repeat</w:t>
      </w:r>
      <w:r w:rsidRPr="00755315">
        <w:rPr>
          <w:b/>
          <w:bCs/>
          <w:sz w:val="20"/>
          <w:szCs w:val="20"/>
        </w:rPr>
        <w:t xml:space="preserve"> the Rel-18</w:t>
      </w:r>
      <w:r>
        <w:rPr>
          <w:b/>
          <w:bCs/>
          <w:sz w:val="20"/>
          <w:szCs w:val="20"/>
        </w:rPr>
        <w:t xml:space="preserve"> effort</w:t>
      </w:r>
      <w:r w:rsidRPr="00755315">
        <w:rPr>
          <w:b/>
          <w:bCs/>
          <w:sz w:val="20"/>
          <w:szCs w:val="20"/>
        </w:rPr>
        <w:t>.</w:t>
      </w:r>
    </w:p>
    <w:bookmarkEnd w:id="31"/>
    <w:p w14:paraId="7550342E" w14:textId="77777777" w:rsidR="00305368" w:rsidRDefault="00305368" w:rsidP="0090478D">
      <w:pPr>
        <w:jc w:val="both"/>
        <w:rPr>
          <w:sz w:val="20"/>
          <w:szCs w:val="20"/>
        </w:rPr>
      </w:pPr>
    </w:p>
    <w:p w14:paraId="43C7688B" w14:textId="414C6B48" w:rsidR="00305368" w:rsidRDefault="00305368" w:rsidP="0090478D">
      <w:pPr>
        <w:jc w:val="both"/>
        <w:rPr>
          <w:rFonts w:eastAsia="MS Mincho"/>
          <w:sz w:val="20"/>
          <w:szCs w:val="20"/>
          <w:lang w:eastAsia="ko-KR"/>
        </w:rPr>
      </w:pPr>
      <w:r>
        <w:rPr>
          <w:sz w:val="20"/>
          <w:szCs w:val="20"/>
        </w:rPr>
        <w:t>Furthermore</w:t>
      </w:r>
      <w:r>
        <w:rPr>
          <w:rFonts w:eastAsia="MS Mincho"/>
          <w:sz w:val="20"/>
          <w:szCs w:val="20"/>
          <w:lang w:eastAsia="ko-KR"/>
        </w:rPr>
        <w:t>, from MediaTek perspective, MPR tightening is acceptable as a trade-off with Tx emission requirements relaxation</w:t>
      </w:r>
      <w:r w:rsidR="00FC0DB1">
        <w:rPr>
          <w:rFonts w:eastAsia="MS Mincho"/>
          <w:sz w:val="20"/>
          <w:szCs w:val="20"/>
          <w:lang w:eastAsia="ko-KR"/>
        </w:rPr>
        <w:t>,</w:t>
      </w:r>
      <w:r>
        <w:rPr>
          <w:rFonts w:eastAsia="MS Mincho"/>
          <w:sz w:val="20"/>
          <w:szCs w:val="20"/>
          <w:lang w:eastAsia="ko-KR"/>
        </w:rPr>
        <w:t xml:space="preserve"> as long as this does not require additional hardware complexity in the UE compared to existing reference UE architectures. Also</w:t>
      </w:r>
      <w:r w:rsidR="00DA4FEE">
        <w:rPr>
          <w:rFonts w:eastAsia="MS Mincho"/>
          <w:sz w:val="20"/>
          <w:szCs w:val="20"/>
          <w:lang w:eastAsia="ko-KR"/>
        </w:rPr>
        <w:t>,</w:t>
      </w:r>
      <w:r>
        <w:rPr>
          <w:rFonts w:eastAsia="MS Mincho"/>
          <w:sz w:val="20"/>
          <w:szCs w:val="20"/>
          <w:lang w:eastAsia="ko-KR"/>
        </w:rPr>
        <w:t xml:space="preserve"> developing complex MPR tables or formulas with new MPR values in between existing values would create more complexity at the UE and should be avoided. Therefore, also taking into account these constraints, we recommend </w:t>
      </w:r>
      <w:r w:rsidR="00475A3F">
        <w:rPr>
          <w:rFonts w:eastAsia="MS Mincho"/>
          <w:sz w:val="20"/>
          <w:szCs w:val="20"/>
          <w:lang w:eastAsia="ko-KR"/>
        </w:rPr>
        <w:t xml:space="preserve">prioritizing RAN4 efforts </w:t>
      </w:r>
      <w:r w:rsidR="0002377D">
        <w:rPr>
          <w:rFonts w:eastAsia="MS Mincho"/>
          <w:sz w:val="20"/>
          <w:szCs w:val="20"/>
          <w:lang w:eastAsia="ko-KR"/>
        </w:rPr>
        <w:t>on enabling sufficient emissions requirements relaxations to enable enhanced MPR requirements such that Outer RB allocations can apply the same MPR as that of Inner RB allocations.</w:t>
      </w:r>
    </w:p>
    <w:p w14:paraId="2C472917" w14:textId="4100150F" w:rsidR="00305368" w:rsidRDefault="00305368" w:rsidP="0090478D">
      <w:pPr>
        <w:jc w:val="both"/>
        <w:rPr>
          <w:rFonts w:eastAsia="MS Mincho"/>
          <w:sz w:val="20"/>
          <w:szCs w:val="20"/>
          <w:lang w:eastAsia="ko-KR"/>
        </w:rPr>
      </w:pPr>
    </w:p>
    <w:p w14:paraId="3E29A743" w14:textId="56DB378C" w:rsidR="00305368" w:rsidRDefault="00DA4FEE" w:rsidP="0090478D">
      <w:pPr>
        <w:jc w:val="both"/>
        <w:rPr>
          <w:b/>
          <w:bCs/>
          <w:sz w:val="20"/>
          <w:szCs w:val="20"/>
        </w:rPr>
      </w:pPr>
      <w:bookmarkStart w:id="32" w:name="OLE_LINK88"/>
      <w:r w:rsidRPr="0090478D">
        <w:rPr>
          <w:b/>
          <w:bCs/>
          <w:sz w:val="20"/>
          <w:szCs w:val="20"/>
          <w:u w:val="single"/>
        </w:rPr>
        <w:t>Proposal</w:t>
      </w:r>
      <w:r w:rsidR="00CC208A" w:rsidRPr="0090478D">
        <w:rPr>
          <w:b/>
          <w:bCs/>
          <w:sz w:val="20"/>
          <w:szCs w:val="20"/>
          <w:u w:val="single"/>
        </w:rPr>
        <w:t xml:space="preserve"> 2</w:t>
      </w:r>
      <w:r w:rsidRPr="00755315">
        <w:rPr>
          <w:b/>
          <w:bCs/>
          <w:sz w:val="20"/>
          <w:szCs w:val="20"/>
        </w:rPr>
        <w:t xml:space="preserve">: </w:t>
      </w:r>
      <w:r w:rsidR="00475A3F">
        <w:rPr>
          <w:b/>
          <w:bCs/>
          <w:sz w:val="20"/>
          <w:szCs w:val="20"/>
        </w:rPr>
        <w:t>Prioritize</w:t>
      </w:r>
      <w:r w:rsidR="00475A3F" w:rsidRPr="00755315">
        <w:rPr>
          <w:b/>
          <w:bCs/>
          <w:sz w:val="20"/>
          <w:szCs w:val="20"/>
        </w:rPr>
        <w:t xml:space="preserve"> </w:t>
      </w:r>
      <w:r w:rsidR="0096093E">
        <w:rPr>
          <w:b/>
          <w:bCs/>
          <w:sz w:val="20"/>
          <w:szCs w:val="20"/>
        </w:rPr>
        <w:t xml:space="preserve">study on </w:t>
      </w:r>
      <w:r w:rsidRPr="00755315">
        <w:rPr>
          <w:b/>
          <w:bCs/>
          <w:sz w:val="20"/>
          <w:szCs w:val="20"/>
        </w:rPr>
        <w:t xml:space="preserve">reduction </w:t>
      </w:r>
      <w:r>
        <w:rPr>
          <w:b/>
          <w:bCs/>
          <w:sz w:val="20"/>
          <w:szCs w:val="20"/>
        </w:rPr>
        <w:t xml:space="preserve">of Outer RB allocation MPR </w:t>
      </w:r>
      <w:r w:rsidR="0096093E">
        <w:rPr>
          <w:b/>
          <w:bCs/>
          <w:sz w:val="20"/>
          <w:szCs w:val="20"/>
        </w:rPr>
        <w:t xml:space="preserve">to similar level as Inner RB allocation MPR </w:t>
      </w:r>
      <w:r w:rsidRPr="00755315">
        <w:rPr>
          <w:b/>
          <w:bCs/>
          <w:sz w:val="20"/>
          <w:szCs w:val="20"/>
        </w:rPr>
        <w:t xml:space="preserve">without increasing </w:t>
      </w:r>
      <w:r w:rsidR="00181AD3">
        <w:rPr>
          <w:b/>
          <w:bCs/>
          <w:sz w:val="20"/>
          <w:szCs w:val="20"/>
        </w:rPr>
        <w:t>reference UE</w:t>
      </w:r>
      <w:r w:rsidRPr="00755315">
        <w:rPr>
          <w:b/>
          <w:bCs/>
          <w:sz w:val="20"/>
          <w:szCs w:val="20"/>
        </w:rPr>
        <w:t xml:space="preserve"> complexity (particularly hardware)</w:t>
      </w:r>
      <w:r w:rsidR="0096093E">
        <w:rPr>
          <w:b/>
          <w:bCs/>
          <w:sz w:val="20"/>
          <w:szCs w:val="20"/>
        </w:rPr>
        <w:t>, by appropriate Tx emission requirement relaxation in the identified operating scenarios.</w:t>
      </w:r>
    </w:p>
    <w:bookmarkEnd w:id="32"/>
    <w:p w14:paraId="05FBCC77" w14:textId="77777777" w:rsidR="00DA4FEE" w:rsidRPr="00755315" w:rsidRDefault="00DA4FEE" w:rsidP="00765A78">
      <w:pPr>
        <w:rPr>
          <w:b/>
          <w:bCs/>
          <w:sz w:val="20"/>
          <w:szCs w:val="20"/>
        </w:rPr>
      </w:pPr>
    </w:p>
    <w:p w14:paraId="6091C9BD" w14:textId="4D128D43" w:rsidR="005A45A4" w:rsidRDefault="00BB00DE" w:rsidP="00755315">
      <w:pPr>
        <w:pStyle w:val="1"/>
        <w:numPr>
          <w:ilvl w:val="0"/>
          <w:numId w:val="0"/>
        </w:numPr>
        <w:ind w:left="425" w:hanging="425"/>
      </w:pPr>
      <w:r>
        <w:rPr>
          <w:lang w:val="en-US" w:eastAsia="ko-KR"/>
        </w:rPr>
        <w:t>4</w:t>
      </w:r>
      <w:r w:rsidR="00B13342">
        <w:rPr>
          <w:lang w:val="en-US" w:eastAsia="ko-KR"/>
        </w:rPr>
        <w:t>.</w:t>
      </w:r>
      <w:r w:rsidR="00B13342">
        <w:rPr>
          <w:lang w:val="en-US" w:eastAsia="ko-KR"/>
        </w:rPr>
        <w:tab/>
      </w:r>
      <w:r w:rsidR="00B13342">
        <w:t>Potential requirements concepts</w:t>
      </w:r>
    </w:p>
    <w:p w14:paraId="5715A973" w14:textId="053504CD" w:rsidR="005A45A4" w:rsidRDefault="005A45A4" w:rsidP="0090478D">
      <w:pPr>
        <w:jc w:val="both"/>
        <w:rPr>
          <w:sz w:val="20"/>
          <w:szCs w:val="20"/>
          <w:lang w:val="en-GB"/>
        </w:rPr>
      </w:pPr>
      <w:r>
        <w:rPr>
          <w:sz w:val="20"/>
          <w:szCs w:val="20"/>
          <w:lang w:val="en-GB"/>
        </w:rPr>
        <w:t xml:space="preserve">As observed in previous sections, it would seem acceptable to relax </w:t>
      </w:r>
      <w:r w:rsidR="005D52C7">
        <w:rPr>
          <w:sz w:val="20"/>
          <w:szCs w:val="20"/>
          <w:lang w:val="en-GB"/>
        </w:rPr>
        <w:t>OOB and Spurious Emission</w:t>
      </w:r>
      <w:r>
        <w:rPr>
          <w:sz w:val="20"/>
          <w:szCs w:val="20"/>
          <w:lang w:val="en-GB"/>
        </w:rPr>
        <w:t xml:space="preserve"> requirements in certain scenarios</w:t>
      </w:r>
      <w:r w:rsidR="005D52C7">
        <w:rPr>
          <w:sz w:val="20"/>
          <w:szCs w:val="20"/>
          <w:lang w:val="en-GB"/>
        </w:rPr>
        <w:t xml:space="preserve">, and it would appear that such relaxation may allow a corresponding reduced MPR to be defined. It has also been shown that creating a greater guardband between the first/last transmitted RB within a contiguous allocation and the “channel edge” can allow a reduction in required MPR. It has also been shown that a full RB allocation of a 20MHz channel bandwidth can appear as an inner RB allocation of a 40MHz channel bandwidth. </w:t>
      </w:r>
    </w:p>
    <w:p w14:paraId="4945766A" w14:textId="08DC988D" w:rsidR="005D52C7" w:rsidRDefault="005D52C7" w:rsidP="0090478D">
      <w:pPr>
        <w:jc w:val="both"/>
        <w:rPr>
          <w:sz w:val="20"/>
          <w:szCs w:val="20"/>
          <w:lang w:val="en-GB"/>
        </w:rPr>
      </w:pPr>
    </w:p>
    <w:p w14:paraId="5775D720" w14:textId="77777777" w:rsidR="000D0394" w:rsidRDefault="00CE46D5" w:rsidP="0090478D">
      <w:pPr>
        <w:jc w:val="both"/>
        <w:rPr>
          <w:sz w:val="20"/>
          <w:szCs w:val="20"/>
          <w:lang w:val="en-GB"/>
        </w:rPr>
      </w:pPr>
      <w:r>
        <w:rPr>
          <w:sz w:val="20"/>
          <w:szCs w:val="20"/>
          <w:lang w:val="en-GB"/>
        </w:rPr>
        <w:t xml:space="preserve">This leads to the general concept of applying enough guardband between first/last RB of the allocation </w:t>
      </w:r>
      <w:r w:rsidR="00E02FA5">
        <w:rPr>
          <w:sz w:val="20"/>
          <w:szCs w:val="20"/>
          <w:lang w:val="en-GB"/>
        </w:rPr>
        <w:t>by shifting</w:t>
      </w:r>
      <w:r>
        <w:rPr>
          <w:sz w:val="20"/>
          <w:szCs w:val="20"/>
          <w:lang w:val="en-GB"/>
        </w:rPr>
        <w:t xml:space="preserve"> the “channel edge” where Tx emission requirements apply</w:t>
      </w:r>
      <w:r w:rsidR="00E02FA5">
        <w:rPr>
          <w:sz w:val="20"/>
          <w:szCs w:val="20"/>
          <w:lang w:val="en-GB"/>
        </w:rPr>
        <w:t>,</w:t>
      </w:r>
      <w:r>
        <w:rPr>
          <w:sz w:val="20"/>
          <w:szCs w:val="20"/>
          <w:lang w:val="en-GB"/>
        </w:rPr>
        <w:t xml:space="preserve"> such that ACLR/SEM is no longer the limiting factor for MPR, and therefore allowing “inner RB allocation” MPR to be applied, where before the “outer RB allocation” MPR would be applied. </w:t>
      </w:r>
    </w:p>
    <w:p w14:paraId="220D1500" w14:textId="77777777" w:rsidR="000D0394" w:rsidRDefault="000D0394" w:rsidP="0090478D">
      <w:pPr>
        <w:jc w:val="both"/>
        <w:rPr>
          <w:sz w:val="20"/>
          <w:szCs w:val="20"/>
          <w:lang w:val="en-GB"/>
        </w:rPr>
      </w:pPr>
    </w:p>
    <w:p w14:paraId="2D0F94A2" w14:textId="32EEDE89" w:rsidR="005D52C7" w:rsidRDefault="00E02FA5" w:rsidP="0090478D">
      <w:pPr>
        <w:jc w:val="both"/>
        <w:rPr>
          <w:sz w:val="20"/>
          <w:szCs w:val="20"/>
          <w:lang w:val="en-GB"/>
        </w:rPr>
      </w:pPr>
      <w:r>
        <w:rPr>
          <w:sz w:val="20"/>
          <w:szCs w:val="20"/>
          <w:lang w:val="en-GB"/>
        </w:rPr>
        <w:t>The requirement between the actual UE channel bandwidth channel edge and the new shifted channel edge could be based on IBE requirements</w:t>
      </w:r>
      <w:r w:rsidR="000D0394">
        <w:rPr>
          <w:sz w:val="20"/>
          <w:szCs w:val="20"/>
          <w:lang w:val="en-GB"/>
        </w:rPr>
        <w:t>, or equivalent</w:t>
      </w:r>
      <w:r>
        <w:rPr>
          <w:sz w:val="20"/>
          <w:szCs w:val="20"/>
          <w:lang w:val="en-GB"/>
        </w:rPr>
        <w:t xml:space="preserve">. </w:t>
      </w:r>
      <w:r w:rsidR="00CE46D5">
        <w:rPr>
          <w:sz w:val="20"/>
          <w:szCs w:val="20"/>
          <w:lang w:val="en-GB"/>
        </w:rPr>
        <w:t>Considering this approach, the follo</w:t>
      </w:r>
      <w:r w:rsidR="005D52C7">
        <w:rPr>
          <w:sz w:val="20"/>
          <w:szCs w:val="20"/>
          <w:lang w:val="en-GB"/>
        </w:rPr>
        <w:t xml:space="preserve">wing sub-sections </w:t>
      </w:r>
      <w:r w:rsidR="00CE46D5">
        <w:rPr>
          <w:sz w:val="20"/>
          <w:szCs w:val="20"/>
          <w:lang w:val="en-GB"/>
        </w:rPr>
        <w:t>show some potential approaches for adapting requirements to enable this</w:t>
      </w:r>
      <w:r w:rsidR="005D52C7">
        <w:rPr>
          <w:sz w:val="20"/>
          <w:szCs w:val="20"/>
          <w:lang w:val="en-GB"/>
        </w:rPr>
        <w:t xml:space="preserve"> (focusing on the RedCap </w:t>
      </w:r>
      <w:r w:rsidR="004510E9">
        <w:rPr>
          <w:sz w:val="20"/>
          <w:szCs w:val="20"/>
          <w:lang w:val="en-GB"/>
        </w:rPr>
        <w:t xml:space="preserve">UE with 20MHz channel BW </w:t>
      </w:r>
      <w:r w:rsidR="005D52C7">
        <w:rPr>
          <w:sz w:val="20"/>
          <w:szCs w:val="20"/>
          <w:lang w:val="en-GB"/>
        </w:rPr>
        <w:t>scenario).</w:t>
      </w:r>
    </w:p>
    <w:p w14:paraId="68BFCBAB" w14:textId="20F55D0A" w:rsidR="00F50085" w:rsidRDefault="00F50085" w:rsidP="0090478D">
      <w:pPr>
        <w:jc w:val="both"/>
        <w:rPr>
          <w:sz w:val="20"/>
          <w:szCs w:val="20"/>
          <w:lang w:val="en-GB"/>
        </w:rPr>
      </w:pPr>
    </w:p>
    <w:p w14:paraId="7FFF18CD" w14:textId="10DBFE19" w:rsidR="00F50085" w:rsidRPr="00755315" w:rsidRDefault="00F50085" w:rsidP="0090478D">
      <w:pPr>
        <w:jc w:val="both"/>
        <w:rPr>
          <w:b/>
          <w:bCs/>
          <w:sz w:val="20"/>
          <w:szCs w:val="20"/>
          <w:lang w:val="en-GB"/>
        </w:rPr>
      </w:pPr>
      <w:bookmarkStart w:id="33" w:name="OLE_LINK89"/>
      <w:r w:rsidRPr="0090478D">
        <w:rPr>
          <w:b/>
          <w:bCs/>
          <w:sz w:val="20"/>
          <w:szCs w:val="20"/>
          <w:u w:val="single"/>
          <w:lang w:val="en-GB"/>
        </w:rPr>
        <w:t>Proposal</w:t>
      </w:r>
      <w:r w:rsidR="00CC208A" w:rsidRPr="0090478D">
        <w:rPr>
          <w:b/>
          <w:bCs/>
          <w:sz w:val="20"/>
          <w:szCs w:val="20"/>
          <w:u w:val="single"/>
          <w:lang w:val="en-GB"/>
        </w:rPr>
        <w:t xml:space="preserve"> 3</w:t>
      </w:r>
      <w:r w:rsidRPr="00755315">
        <w:rPr>
          <w:b/>
          <w:bCs/>
          <w:sz w:val="20"/>
          <w:szCs w:val="20"/>
          <w:lang w:val="en-GB"/>
        </w:rPr>
        <w:t xml:space="preserve">: </w:t>
      </w:r>
      <w:r w:rsidR="0095712F">
        <w:rPr>
          <w:b/>
          <w:bCs/>
          <w:sz w:val="20"/>
          <w:szCs w:val="20"/>
          <w:lang w:val="en-GB"/>
        </w:rPr>
        <w:t>E</w:t>
      </w:r>
      <w:r w:rsidR="00FC7BAE">
        <w:rPr>
          <w:b/>
          <w:bCs/>
          <w:sz w:val="20"/>
          <w:szCs w:val="20"/>
          <w:lang w:val="en-GB"/>
        </w:rPr>
        <w:t>ndorse</w:t>
      </w:r>
      <w:r w:rsidRPr="00755315">
        <w:rPr>
          <w:b/>
          <w:bCs/>
          <w:sz w:val="20"/>
          <w:szCs w:val="20"/>
          <w:lang w:val="en-GB"/>
        </w:rPr>
        <w:t xml:space="preserve"> a Tx emission requirements relaxation approach of shifting the Tx emissions requirements </w:t>
      </w:r>
      <w:r>
        <w:rPr>
          <w:b/>
          <w:bCs/>
          <w:sz w:val="20"/>
          <w:szCs w:val="20"/>
          <w:lang w:val="en-GB"/>
        </w:rPr>
        <w:t>“channel edge”</w:t>
      </w:r>
      <w:r w:rsidRPr="00755315">
        <w:rPr>
          <w:b/>
          <w:bCs/>
          <w:sz w:val="20"/>
          <w:szCs w:val="20"/>
          <w:lang w:val="en-GB"/>
        </w:rPr>
        <w:t xml:space="preserve"> (</w:t>
      </w:r>
      <w:r w:rsidRPr="00755315">
        <w:rPr>
          <w:b/>
          <w:bCs/>
          <w:sz w:val="20"/>
          <w:szCs w:val="20"/>
        </w:rPr>
        <w:t>Δf</w:t>
      </w:r>
      <w:r w:rsidRPr="00755315">
        <w:rPr>
          <w:b/>
          <w:bCs/>
          <w:sz w:val="20"/>
          <w:szCs w:val="20"/>
          <w:vertAlign w:val="subscript"/>
        </w:rPr>
        <w:t>OOB</w:t>
      </w:r>
      <w:r w:rsidRPr="00755315">
        <w:rPr>
          <w:b/>
          <w:bCs/>
          <w:sz w:val="20"/>
          <w:szCs w:val="20"/>
          <w:lang w:val="en-GB"/>
        </w:rPr>
        <w:t xml:space="preserve"> = 0 MHz)</w:t>
      </w:r>
      <w:r w:rsidR="000D0394">
        <w:rPr>
          <w:b/>
          <w:bCs/>
          <w:sz w:val="20"/>
          <w:szCs w:val="20"/>
          <w:lang w:val="en-GB"/>
        </w:rPr>
        <w:t xml:space="preserve"> away from real channel edge </w:t>
      </w:r>
      <w:r w:rsidRPr="00755315">
        <w:rPr>
          <w:b/>
          <w:bCs/>
          <w:sz w:val="20"/>
          <w:szCs w:val="20"/>
          <w:lang w:val="en-GB"/>
        </w:rPr>
        <w:t>to create sufficient guardband from the UE channel bandwidth edge</w:t>
      </w:r>
      <w:r>
        <w:rPr>
          <w:b/>
          <w:bCs/>
          <w:sz w:val="20"/>
          <w:szCs w:val="20"/>
          <w:lang w:val="en-GB"/>
        </w:rPr>
        <w:t>, to enable ACLR, SEM, and Spurious Emission relaxation</w:t>
      </w:r>
      <w:r w:rsidRPr="00755315">
        <w:rPr>
          <w:b/>
          <w:bCs/>
          <w:sz w:val="20"/>
          <w:szCs w:val="20"/>
          <w:lang w:val="en-GB"/>
        </w:rPr>
        <w:t>.</w:t>
      </w:r>
      <w:r w:rsidR="000D0394">
        <w:rPr>
          <w:b/>
          <w:bCs/>
          <w:sz w:val="20"/>
          <w:szCs w:val="20"/>
          <w:lang w:val="en-GB"/>
        </w:rPr>
        <w:t xml:space="preserve"> “Exten</w:t>
      </w:r>
      <w:r w:rsidR="00943F4F">
        <w:rPr>
          <w:b/>
          <w:bCs/>
          <w:sz w:val="20"/>
          <w:szCs w:val="20"/>
          <w:lang w:val="en-GB"/>
        </w:rPr>
        <w:t>sion of</w:t>
      </w:r>
      <w:r w:rsidR="000D0394">
        <w:rPr>
          <w:b/>
          <w:bCs/>
          <w:sz w:val="20"/>
          <w:szCs w:val="20"/>
          <w:lang w:val="en-GB"/>
        </w:rPr>
        <w:t xml:space="preserve">” IBE or equivalent to apply from first/last allocated RB to new Tx emission requirements </w:t>
      </w:r>
      <w:r w:rsidR="000A7DB4">
        <w:rPr>
          <w:b/>
          <w:bCs/>
          <w:sz w:val="20"/>
          <w:szCs w:val="20"/>
          <w:lang w:val="en-GB"/>
        </w:rPr>
        <w:t>“</w:t>
      </w:r>
      <w:r w:rsidR="000D0394">
        <w:rPr>
          <w:b/>
          <w:bCs/>
          <w:sz w:val="20"/>
          <w:szCs w:val="20"/>
          <w:lang w:val="en-GB"/>
        </w:rPr>
        <w:t>channel edge</w:t>
      </w:r>
      <w:r w:rsidR="000A7DB4">
        <w:rPr>
          <w:b/>
          <w:bCs/>
          <w:sz w:val="20"/>
          <w:szCs w:val="20"/>
          <w:lang w:val="en-GB"/>
        </w:rPr>
        <w:t>”</w:t>
      </w:r>
      <w:r w:rsidR="000D0394">
        <w:rPr>
          <w:b/>
          <w:bCs/>
          <w:sz w:val="20"/>
          <w:szCs w:val="20"/>
          <w:lang w:val="en-GB"/>
        </w:rPr>
        <w:t>.</w:t>
      </w:r>
    </w:p>
    <w:bookmarkEnd w:id="33"/>
    <w:p w14:paraId="488144DC" w14:textId="61C174BD" w:rsidR="005D52C7" w:rsidRDefault="00BB00DE" w:rsidP="00755315">
      <w:pPr>
        <w:pStyle w:val="2"/>
        <w:ind w:left="0" w:firstLineChars="0" w:firstLine="0"/>
      </w:pPr>
      <w:r>
        <w:t>4</w:t>
      </w:r>
      <w:r w:rsidR="00B13342">
        <w:t xml:space="preserve">.1 </w:t>
      </w:r>
      <w:r w:rsidR="00FC7BAE">
        <w:t>Shifted Channel Edge via “w</w:t>
      </w:r>
      <w:r w:rsidR="005D52C7">
        <w:t xml:space="preserve">ider </w:t>
      </w:r>
      <w:r w:rsidR="00B13342">
        <w:t>CBW</w:t>
      </w:r>
      <w:r w:rsidR="00FC7BAE">
        <w:t>”</w:t>
      </w:r>
      <w:r w:rsidR="005D52C7">
        <w:t xml:space="preserve"> emissions </w:t>
      </w:r>
      <w:r w:rsidR="00FC7BAE">
        <w:t xml:space="preserve">framework </w:t>
      </w:r>
    </w:p>
    <w:p w14:paraId="47130FB0" w14:textId="0D99F629" w:rsidR="00CE46D5" w:rsidRPr="00CE46D5" w:rsidRDefault="00CE46D5" w:rsidP="0090478D">
      <w:pPr>
        <w:jc w:val="both"/>
      </w:pPr>
      <w:r w:rsidRPr="00755315">
        <w:rPr>
          <w:sz w:val="20"/>
          <w:szCs w:val="20"/>
        </w:rPr>
        <w:t>In this scenario, for a UE operating a 20MHz channel bandwidth</w:t>
      </w:r>
      <w:r w:rsidR="00EA3E19">
        <w:rPr>
          <w:sz w:val="20"/>
          <w:szCs w:val="20"/>
        </w:rPr>
        <w:t xml:space="preserve"> (51 RB allocation with 30kHz SCS)</w:t>
      </w:r>
      <w:r w:rsidRPr="00755315">
        <w:rPr>
          <w:sz w:val="20"/>
          <w:szCs w:val="20"/>
        </w:rPr>
        <w:t xml:space="preserve">, the </w:t>
      </w:r>
      <w:r w:rsidRPr="00755315">
        <w:rPr>
          <w:b/>
          <w:bCs/>
          <w:sz w:val="20"/>
          <w:szCs w:val="20"/>
        </w:rPr>
        <w:t>40MHz</w:t>
      </w:r>
      <w:r w:rsidRPr="00755315">
        <w:rPr>
          <w:sz w:val="20"/>
          <w:szCs w:val="20"/>
        </w:rPr>
        <w:t xml:space="preserve"> channel bandwidth Tx emission (OOB and Spurious) requirements would apply from 10MHz away from the 20MHz channel edge. This </w:t>
      </w:r>
      <w:r w:rsidR="00E02FA5" w:rsidRPr="00755315">
        <w:rPr>
          <w:sz w:val="20"/>
          <w:szCs w:val="20"/>
        </w:rPr>
        <w:t>sh</w:t>
      </w:r>
      <w:r w:rsidRPr="00755315">
        <w:rPr>
          <w:sz w:val="20"/>
          <w:szCs w:val="20"/>
        </w:rPr>
        <w:t xml:space="preserve">ould allow a UE with a full 106 RB allocation to apply the Inner RB allocation MPR instead of the Outer RB allocation MPR. </w:t>
      </w:r>
      <w:r w:rsidR="00E02FA5" w:rsidRPr="00755315">
        <w:rPr>
          <w:sz w:val="20"/>
          <w:szCs w:val="20"/>
        </w:rPr>
        <w:t xml:space="preserve">One issue with this is that applying the 40MHz CBW spurious emission requirements would mean that it would start from 55MHz from the 20MHz channel </w:t>
      </w:r>
      <w:r w:rsidR="004510E9">
        <w:rPr>
          <w:sz w:val="20"/>
          <w:szCs w:val="20"/>
        </w:rPr>
        <w:t xml:space="preserve">bandwidth </w:t>
      </w:r>
      <w:r w:rsidR="00E02FA5" w:rsidRPr="00755315">
        <w:rPr>
          <w:sz w:val="20"/>
          <w:szCs w:val="20"/>
        </w:rPr>
        <w:t xml:space="preserve">edge, which does not fulfil the 250% requirement </w:t>
      </w:r>
      <w:r w:rsidR="00E02FA5">
        <w:rPr>
          <w:sz w:val="20"/>
          <w:szCs w:val="20"/>
        </w:rPr>
        <w:t xml:space="preserve">(which is 40MHz) </w:t>
      </w:r>
      <w:r w:rsidR="00E02FA5" w:rsidRPr="00755315">
        <w:rPr>
          <w:sz w:val="20"/>
          <w:szCs w:val="20"/>
        </w:rPr>
        <w:t>for necessary bandwidth of 20MHz.</w:t>
      </w:r>
    </w:p>
    <w:p w14:paraId="4C8D9381" w14:textId="6E609B05" w:rsidR="005D52C7" w:rsidRDefault="005D52C7" w:rsidP="00765A78">
      <w:pPr>
        <w:rPr>
          <w:sz w:val="20"/>
          <w:szCs w:val="20"/>
          <w:lang w:val="en-GB"/>
        </w:rPr>
      </w:pPr>
    </w:p>
    <w:p w14:paraId="09D1F9B1" w14:textId="71E3BACE" w:rsidR="005D52C7" w:rsidRDefault="00CC1A64" w:rsidP="005D52C7">
      <w:pPr>
        <w:jc w:val="center"/>
      </w:pPr>
      <w:r>
        <w:rPr>
          <w:noProof/>
        </w:rPr>
        <w:drawing>
          <wp:inline distT="0" distB="0" distL="0" distR="0" wp14:anchorId="1B95E5D6" wp14:editId="44B1BE70">
            <wp:extent cx="6118860" cy="1706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706880"/>
                    </a:xfrm>
                    <a:prstGeom prst="rect">
                      <a:avLst/>
                    </a:prstGeom>
                    <a:noFill/>
                    <a:ln>
                      <a:noFill/>
                    </a:ln>
                  </pic:spPr>
                </pic:pic>
              </a:graphicData>
            </a:graphic>
          </wp:inline>
        </w:drawing>
      </w:r>
    </w:p>
    <w:p w14:paraId="5764A961" w14:textId="18C69B58" w:rsidR="005D52C7" w:rsidRPr="0090478D" w:rsidRDefault="005D52C7" w:rsidP="0090478D">
      <w:pPr>
        <w:spacing w:before="120"/>
        <w:jc w:val="center"/>
        <w:rPr>
          <w:rFonts w:asciiTheme="minorHAnsi" w:hAnsiTheme="minorHAnsi" w:cstheme="minorHAnsi"/>
          <w:b/>
          <w:bCs/>
          <w:sz w:val="20"/>
          <w:szCs w:val="20"/>
        </w:rPr>
      </w:pPr>
      <w:r w:rsidRPr="0090478D">
        <w:rPr>
          <w:rFonts w:asciiTheme="minorHAnsi" w:hAnsiTheme="minorHAnsi" w:cstheme="minorHAnsi"/>
          <w:b/>
          <w:bCs/>
          <w:sz w:val="20"/>
          <w:szCs w:val="20"/>
        </w:rPr>
        <w:t xml:space="preserve">Figure 4: </w:t>
      </w:r>
      <w:r w:rsidR="00CC208A" w:rsidRPr="0090478D">
        <w:rPr>
          <w:rFonts w:asciiTheme="minorHAnsi" w:hAnsiTheme="minorHAnsi" w:cstheme="minorHAnsi"/>
          <w:b/>
          <w:bCs/>
          <w:sz w:val="20"/>
          <w:szCs w:val="20"/>
        </w:rPr>
        <w:t>Wider</w:t>
      </w:r>
      <w:r w:rsidRPr="0090478D">
        <w:rPr>
          <w:rFonts w:asciiTheme="minorHAnsi" w:hAnsiTheme="minorHAnsi" w:cstheme="minorHAnsi"/>
          <w:b/>
          <w:bCs/>
          <w:sz w:val="20"/>
          <w:szCs w:val="20"/>
        </w:rPr>
        <w:t xml:space="preserve"> </w:t>
      </w:r>
      <w:r w:rsidR="00CC208A" w:rsidRPr="0090478D">
        <w:rPr>
          <w:rFonts w:asciiTheme="minorHAnsi" w:hAnsiTheme="minorHAnsi" w:cstheme="minorHAnsi"/>
          <w:b/>
          <w:bCs/>
          <w:sz w:val="20"/>
          <w:szCs w:val="20"/>
        </w:rPr>
        <w:t>CBW Tx emission requirements framework</w:t>
      </w:r>
    </w:p>
    <w:p w14:paraId="0B2802E2" w14:textId="77777777" w:rsidR="005D52C7" w:rsidRPr="00755315" w:rsidRDefault="005D52C7" w:rsidP="00765A78">
      <w:pPr>
        <w:rPr>
          <w:sz w:val="20"/>
          <w:szCs w:val="20"/>
        </w:rPr>
      </w:pPr>
    </w:p>
    <w:p w14:paraId="00F088EB" w14:textId="20A4BBE4" w:rsidR="006F082D" w:rsidRDefault="00A32A60" w:rsidP="0090478D">
      <w:pPr>
        <w:jc w:val="both"/>
        <w:rPr>
          <w:sz w:val="20"/>
          <w:szCs w:val="20"/>
          <w:lang w:val="en-GB"/>
        </w:rPr>
      </w:pPr>
      <w:r>
        <w:rPr>
          <w:sz w:val="20"/>
          <w:szCs w:val="20"/>
          <w:lang w:val="en-GB"/>
        </w:rPr>
        <w:t xml:space="preserve">It should be noted here that this framework can already be applied today for a non-RedCap UE operating less than 100MHz channel bandwidth. </w:t>
      </w:r>
      <w:r w:rsidR="006F082D">
        <w:rPr>
          <w:sz w:val="20"/>
          <w:szCs w:val="20"/>
          <w:lang w:val="en-GB"/>
        </w:rPr>
        <w:t xml:space="preserve">However, see </w:t>
      </w:r>
      <w:r w:rsidR="001F22A7">
        <w:rPr>
          <w:sz w:val="20"/>
          <w:szCs w:val="20"/>
          <w:lang w:val="en-GB"/>
        </w:rPr>
        <w:t>earlier</w:t>
      </w:r>
      <w:r w:rsidR="006F082D">
        <w:rPr>
          <w:sz w:val="20"/>
          <w:szCs w:val="20"/>
          <w:lang w:val="en-GB"/>
        </w:rPr>
        <w:t xml:space="preserve"> questions in section 2.4.</w:t>
      </w:r>
    </w:p>
    <w:p w14:paraId="6AC8EC8C" w14:textId="3927A514" w:rsidR="00CC208A" w:rsidRDefault="00CC208A" w:rsidP="0090478D">
      <w:pPr>
        <w:jc w:val="both"/>
        <w:rPr>
          <w:sz w:val="20"/>
          <w:szCs w:val="20"/>
          <w:lang w:val="en-GB"/>
        </w:rPr>
      </w:pPr>
    </w:p>
    <w:p w14:paraId="40F4D199" w14:textId="62AFADC4" w:rsidR="00CC208A" w:rsidRPr="00755315" w:rsidRDefault="00CC208A" w:rsidP="0090478D">
      <w:pPr>
        <w:jc w:val="both"/>
        <w:rPr>
          <w:b/>
          <w:bCs/>
          <w:sz w:val="20"/>
          <w:szCs w:val="20"/>
          <w:lang w:val="en-GB"/>
        </w:rPr>
      </w:pPr>
      <w:bookmarkStart w:id="34" w:name="OLE_LINK90"/>
      <w:r w:rsidRPr="0090478D">
        <w:rPr>
          <w:b/>
          <w:bCs/>
          <w:sz w:val="20"/>
          <w:szCs w:val="20"/>
          <w:u w:val="single"/>
          <w:lang w:val="en-GB"/>
        </w:rPr>
        <w:t>Proposal 3a</w:t>
      </w:r>
      <w:r w:rsidRPr="00755315">
        <w:rPr>
          <w:b/>
          <w:bCs/>
          <w:sz w:val="20"/>
          <w:szCs w:val="20"/>
          <w:lang w:val="en-GB"/>
        </w:rPr>
        <w:t xml:space="preserve">: </w:t>
      </w:r>
      <w:r w:rsidR="0095712F">
        <w:rPr>
          <w:b/>
          <w:bCs/>
          <w:sz w:val="20"/>
          <w:szCs w:val="20"/>
          <w:lang w:val="en-GB"/>
        </w:rPr>
        <w:t>Agree</w:t>
      </w:r>
      <w:r w:rsidR="00FC7BAE">
        <w:rPr>
          <w:b/>
          <w:bCs/>
          <w:sz w:val="20"/>
          <w:szCs w:val="20"/>
          <w:lang w:val="en-GB"/>
        </w:rPr>
        <w:t xml:space="preserve"> to further analyse</w:t>
      </w:r>
      <w:r w:rsidRPr="00755315">
        <w:rPr>
          <w:b/>
          <w:bCs/>
          <w:sz w:val="20"/>
          <w:szCs w:val="20"/>
          <w:lang w:val="en-GB"/>
        </w:rPr>
        <w:t xml:space="preserve"> the Wider CBW Tx emission requirements framework as one option to enable Outer RB allocation MPR reduction</w:t>
      </w:r>
      <w:r>
        <w:rPr>
          <w:b/>
          <w:bCs/>
          <w:sz w:val="20"/>
          <w:szCs w:val="20"/>
          <w:lang w:val="en-GB"/>
        </w:rPr>
        <w:t xml:space="preserve">, </w:t>
      </w:r>
      <w:r w:rsidR="00FC7BAE">
        <w:rPr>
          <w:b/>
          <w:bCs/>
          <w:sz w:val="20"/>
          <w:szCs w:val="20"/>
          <w:lang w:val="en-GB"/>
        </w:rPr>
        <w:t>for RedCap and non-RedCap UE</w:t>
      </w:r>
      <w:r>
        <w:rPr>
          <w:b/>
          <w:bCs/>
          <w:sz w:val="20"/>
          <w:szCs w:val="20"/>
          <w:lang w:val="en-GB"/>
        </w:rPr>
        <w:t xml:space="preserve">. </w:t>
      </w:r>
      <w:r w:rsidR="00FC0DB1">
        <w:rPr>
          <w:b/>
          <w:bCs/>
          <w:sz w:val="20"/>
          <w:szCs w:val="20"/>
          <w:lang w:val="en-GB"/>
        </w:rPr>
        <w:t>Also f</w:t>
      </w:r>
      <w:r>
        <w:rPr>
          <w:b/>
          <w:bCs/>
          <w:sz w:val="20"/>
          <w:szCs w:val="20"/>
          <w:lang w:val="en-GB"/>
        </w:rPr>
        <w:t>urther study the Spurious Emission requirement issue as described</w:t>
      </w:r>
      <w:r w:rsidR="00FC0DB1">
        <w:rPr>
          <w:b/>
          <w:bCs/>
          <w:sz w:val="20"/>
          <w:szCs w:val="20"/>
          <w:lang w:val="en-GB"/>
        </w:rPr>
        <w:t xml:space="preserve"> for this approach</w:t>
      </w:r>
      <w:r w:rsidRPr="00755315">
        <w:rPr>
          <w:b/>
          <w:bCs/>
          <w:sz w:val="20"/>
          <w:szCs w:val="20"/>
          <w:lang w:val="en-GB"/>
        </w:rPr>
        <w:t>.</w:t>
      </w:r>
    </w:p>
    <w:bookmarkEnd w:id="34"/>
    <w:p w14:paraId="558CF2B0" w14:textId="672182F1" w:rsidR="00E02FA5" w:rsidRDefault="00BB00DE" w:rsidP="00755315">
      <w:pPr>
        <w:pStyle w:val="2"/>
        <w:ind w:left="0" w:firstLineChars="0" w:firstLine="0"/>
      </w:pPr>
      <w:r>
        <w:t>4</w:t>
      </w:r>
      <w:r w:rsidR="00B13342">
        <w:t>.2</w:t>
      </w:r>
      <w:r w:rsidR="00B13342">
        <w:tab/>
      </w:r>
      <w:r w:rsidR="00E02FA5">
        <w:t xml:space="preserve">Shifted channel edge </w:t>
      </w:r>
      <w:r w:rsidR="00FC7BAE">
        <w:t>with</w:t>
      </w:r>
      <w:r w:rsidR="00E02FA5">
        <w:t xml:space="preserve"> </w:t>
      </w:r>
      <w:r w:rsidR="00CC208A">
        <w:t>“</w:t>
      </w:r>
      <w:r w:rsidR="00E02FA5">
        <w:t xml:space="preserve">same </w:t>
      </w:r>
      <w:r w:rsidR="00B13342">
        <w:t>CBW</w:t>
      </w:r>
      <w:r w:rsidR="00CC208A">
        <w:t>”</w:t>
      </w:r>
      <w:r w:rsidR="00E02FA5">
        <w:t xml:space="preserve"> emissions framework</w:t>
      </w:r>
    </w:p>
    <w:p w14:paraId="68D1A634" w14:textId="645BC3F6" w:rsidR="007E0004" w:rsidRDefault="00A32A60" w:rsidP="0090478D">
      <w:pPr>
        <w:jc w:val="both"/>
        <w:rPr>
          <w:sz w:val="20"/>
          <w:szCs w:val="20"/>
        </w:rPr>
      </w:pPr>
      <w:r>
        <w:rPr>
          <w:sz w:val="20"/>
          <w:szCs w:val="20"/>
        </w:rPr>
        <w:t xml:space="preserve">In this case, </w:t>
      </w:r>
      <w:r w:rsidR="004510E9">
        <w:rPr>
          <w:sz w:val="20"/>
          <w:szCs w:val="20"/>
        </w:rPr>
        <w:t xml:space="preserve">for the same UE as in section 4.1, </w:t>
      </w:r>
      <w:r>
        <w:rPr>
          <w:sz w:val="20"/>
          <w:szCs w:val="20"/>
        </w:rPr>
        <w:t xml:space="preserve">the starting point of emissions requirements are still shifted by 10MHz from the channel edge for a 20MHz channel. However, the emissions requirements apply are those </w:t>
      </w:r>
      <w:r w:rsidRPr="00755315">
        <w:rPr>
          <w:b/>
          <w:bCs/>
          <w:sz w:val="20"/>
          <w:szCs w:val="20"/>
        </w:rPr>
        <w:t xml:space="preserve">of 20MHz </w:t>
      </w:r>
      <w:r w:rsidR="004510E9">
        <w:rPr>
          <w:b/>
          <w:bCs/>
          <w:sz w:val="20"/>
          <w:szCs w:val="20"/>
        </w:rPr>
        <w:t xml:space="preserve">UE </w:t>
      </w:r>
      <w:r w:rsidRPr="00755315">
        <w:rPr>
          <w:b/>
          <w:bCs/>
          <w:sz w:val="20"/>
          <w:szCs w:val="20"/>
        </w:rPr>
        <w:t>CBW</w:t>
      </w:r>
      <w:r>
        <w:rPr>
          <w:sz w:val="20"/>
          <w:szCs w:val="20"/>
        </w:rPr>
        <w:t xml:space="preserve"> </w:t>
      </w:r>
      <w:r w:rsidR="00FC7BAE">
        <w:rPr>
          <w:sz w:val="20"/>
          <w:szCs w:val="20"/>
        </w:rPr>
        <w:t>(</w:t>
      </w:r>
      <w:r>
        <w:rPr>
          <w:sz w:val="20"/>
          <w:szCs w:val="20"/>
        </w:rPr>
        <w:t>instead of</w:t>
      </w:r>
      <w:r w:rsidR="00FC7BAE">
        <w:rPr>
          <w:sz w:val="20"/>
          <w:szCs w:val="20"/>
        </w:rPr>
        <w:t xml:space="preserve"> the 40MHz CBW used in the Wider CBW approach)</w:t>
      </w:r>
      <w:r>
        <w:rPr>
          <w:sz w:val="20"/>
          <w:szCs w:val="20"/>
        </w:rPr>
        <w:t xml:space="preserve">. This implies a slightly tighter requirement for SEM and ACLR, but from </w:t>
      </w:r>
      <w:r w:rsidR="00FC7BAE">
        <w:rPr>
          <w:sz w:val="20"/>
          <w:szCs w:val="20"/>
        </w:rPr>
        <w:t>our PA evaluation</w:t>
      </w:r>
      <w:r>
        <w:rPr>
          <w:sz w:val="20"/>
          <w:szCs w:val="20"/>
        </w:rPr>
        <w:t xml:space="preserve"> of DFT-S-OFDM and CP-OFDM waveforms, this still allows the inner RB allocation </w:t>
      </w:r>
      <w:r>
        <w:rPr>
          <w:sz w:val="20"/>
          <w:szCs w:val="20"/>
        </w:rPr>
        <w:lastRenderedPageBreak/>
        <w:t xml:space="preserve">MPR to apply. In this approach the Spurious Emissions requirement will also apply with </w:t>
      </w:r>
      <w:r w:rsidR="00707044">
        <w:rPr>
          <w:sz w:val="20"/>
          <w:szCs w:val="20"/>
        </w:rPr>
        <w:t xml:space="preserve">CBW/2 = </w:t>
      </w:r>
      <w:r>
        <w:rPr>
          <w:sz w:val="20"/>
          <w:szCs w:val="20"/>
        </w:rPr>
        <w:t>10MHz shift (so F</w:t>
      </w:r>
      <w:r w:rsidRPr="00755315">
        <w:rPr>
          <w:sz w:val="20"/>
          <w:szCs w:val="20"/>
          <w:vertAlign w:val="subscript"/>
        </w:rPr>
        <w:t>OOB</w:t>
      </w:r>
      <w:r>
        <w:rPr>
          <w:sz w:val="20"/>
          <w:szCs w:val="20"/>
        </w:rPr>
        <w:t xml:space="preserve"> = 35MHz) which still fulfils the 250% requirement for 20MHz. </w:t>
      </w:r>
    </w:p>
    <w:p w14:paraId="68136C46" w14:textId="4C2D967D" w:rsidR="00A32A60" w:rsidRDefault="00A32A60" w:rsidP="00765A78">
      <w:pPr>
        <w:rPr>
          <w:sz w:val="20"/>
          <w:szCs w:val="20"/>
        </w:rPr>
      </w:pPr>
    </w:p>
    <w:p w14:paraId="3B055494" w14:textId="08AA2A3F" w:rsidR="00A32A60" w:rsidRDefault="00CC1A64" w:rsidP="0090478D">
      <w:pPr>
        <w:rPr>
          <w:rFonts w:eastAsiaTheme="minorEastAsia"/>
          <w:sz w:val="20"/>
          <w:szCs w:val="20"/>
        </w:rPr>
      </w:pPr>
      <w:r>
        <w:rPr>
          <w:rFonts w:eastAsiaTheme="minorEastAsia"/>
          <w:noProof/>
        </w:rPr>
        <w:drawing>
          <wp:inline distT="0" distB="0" distL="0" distR="0" wp14:anchorId="08AA3E39" wp14:editId="63CB530B">
            <wp:extent cx="5151120" cy="1783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1120" cy="1783080"/>
                    </a:xfrm>
                    <a:prstGeom prst="rect">
                      <a:avLst/>
                    </a:prstGeom>
                    <a:noFill/>
                    <a:ln>
                      <a:noFill/>
                    </a:ln>
                  </pic:spPr>
                </pic:pic>
              </a:graphicData>
            </a:graphic>
          </wp:inline>
        </w:drawing>
      </w:r>
    </w:p>
    <w:p w14:paraId="568A92F2" w14:textId="62A9A57C" w:rsidR="00A32A60" w:rsidRPr="0090478D" w:rsidRDefault="00A32A60" w:rsidP="0090478D">
      <w:pPr>
        <w:spacing w:before="120"/>
        <w:jc w:val="center"/>
        <w:rPr>
          <w:rFonts w:asciiTheme="minorHAnsi" w:hAnsiTheme="minorHAnsi" w:cstheme="minorHAnsi"/>
          <w:b/>
          <w:bCs/>
          <w:sz w:val="20"/>
          <w:szCs w:val="20"/>
        </w:rPr>
      </w:pPr>
      <w:r w:rsidRPr="0090478D">
        <w:rPr>
          <w:rFonts w:asciiTheme="minorHAnsi" w:hAnsiTheme="minorHAnsi" w:cstheme="minorHAnsi"/>
          <w:b/>
          <w:bCs/>
          <w:sz w:val="20"/>
          <w:szCs w:val="20"/>
        </w:rPr>
        <w:t xml:space="preserve">Figure 5: </w:t>
      </w:r>
      <w:r w:rsidR="00CC208A" w:rsidRPr="0090478D">
        <w:rPr>
          <w:rFonts w:asciiTheme="minorHAnsi" w:hAnsiTheme="minorHAnsi" w:cstheme="minorHAnsi"/>
          <w:b/>
          <w:bCs/>
          <w:sz w:val="20"/>
          <w:szCs w:val="20"/>
        </w:rPr>
        <w:t>Shifted channel edge with “same CBW” Tx emissions framework</w:t>
      </w:r>
    </w:p>
    <w:p w14:paraId="0BF32A2E" w14:textId="72997717" w:rsidR="00A32A60" w:rsidRDefault="00A32A60" w:rsidP="00765A78">
      <w:pPr>
        <w:rPr>
          <w:sz w:val="20"/>
          <w:szCs w:val="20"/>
        </w:rPr>
      </w:pPr>
    </w:p>
    <w:p w14:paraId="1C89A26E" w14:textId="50737F13" w:rsidR="00FC7BAE" w:rsidRDefault="00FC7BAE" w:rsidP="0090478D">
      <w:pPr>
        <w:jc w:val="both"/>
        <w:rPr>
          <w:b/>
          <w:bCs/>
          <w:sz w:val="20"/>
          <w:szCs w:val="20"/>
          <w:lang w:val="en-GB"/>
        </w:rPr>
      </w:pPr>
      <w:bookmarkStart w:id="35" w:name="OLE_LINK91"/>
      <w:r w:rsidRPr="0090478D">
        <w:rPr>
          <w:b/>
          <w:bCs/>
          <w:sz w:val="20"/>
          <w:szCs w:val="20"/>
          <w:u w:val="single"/>
          <w:lang w:val="en-GB"/>
        </w:rPr>
        <w:t>Proposal 3b</w:t>
      </w:r>
      <w:r>
        <w:rPr>
          <w:b/>
          <w:bCs/>
          <w:sz w:val="20"/>
          <w:szCs w:val="20"/>
          <w:lang w:val="en-GB"/>
        </w:rPr>
        <w:t xml:space="preserve">: </w:t>
      </w:r>
      <w:r w:rsidR="0095712F">
        <w:rPr>
          <w:b/>
          <w:bCs/>
          <w:sz w:val="20"/>
          <w:szCs w:val="20"/>
          <w:lang w:val="en-GB"/>
        </w:rPr>
        <w:t>Agree</w:t>
      </w:r>
      <w:r>
        <w:rPr>
          <w:b/>
          <w:bCs/>
          <w:sz w:val="20"/>
          <w:szCs w:val="20"/>
          <w:lang w:val="en-GB"/>
        </w:rPr>
        <w:t xml:space="preserve"> to further analyse the Shifted Channel Edge with “Same CBW” Tx emission requirements framework as one option to enable Outer RB allocation MPR reduction for RedCap and non-RedCap UE.</w:t>
      </w:r>
    </w:p>
    <w:bookmarkEnd w:id="35"/>
    <w:p w14:paraId="047AA804" w14:textId="77777777" w:rsidR="00FC7BAE" w:rsidRDefault="00FC7BAE" w:rsidP="00765A78">
      <w:pPr>
        <w:rPr>
          <w:sz w:val="20"/>
          <w:szCs w:val="20"/>
        </w:rPr>
      </w:pPr>
    </w:p>
    <w:p w14:paraId="1537088E" w14:textId="1ABC8362" w:rsidR="00E675FA" w:rsidRDefault="00BB00DE" w:rsidP="00755315">
      <w:pPr>
        <w:pStyle w:val="2"/>
        <w:ind w:left="0" w:firstLineChars="0" w:firstLine="0"/>
      </w:pPr>
      <w:r>
        <w:t>4</w:t>
      </w:r>
      <w:r w:rsidR="00B13342">
        <w:t>.3</w:t>
      </w:r>
      <w:r w:rsidR="00B13342">
        <w:tab/>
      </w:r>
      <w:r w:rsidR="00E675FA">
        <w:t xml:space="preserve">One-sided emissions </w:t>
      </w:r>
      <w:r w:rsidR="007E534B">
        <w:t>relaxation</w:t>
      </w:r>
      <w:r w:rsidR="00E675FA">
        <w:t xml:space="preserve"> framework</w:t>
      </w:r>
    </w:p>
    <w:p w14:paraId="5F5737BC" w14:textId="6A97EA5B" w:rsidR="00582C8F" w:rsidRDefault="00582C8F" w:rsidP="0090478D">
      <w:pPr>
        <w:jc w:val="both"/>
        <w:rPr>
          <w:sz w:val="20"/>
          <w:szCs w:val="20"/>
        </w:rPr>
      </w:pPr>
      <w:r>
        <w:rPr>
          <w:sz w:val="20"/>
          <w:szCs w:val="20"/>
        </w:rPr>
        <w:t xml:space="preserve">This concept would help in the case that the </w:t>
      </w:r>
      <w:r w:rsidR="004510E9">
        <w:rPr>
          <w:sz w:val="20"/>
          <w:szCs w:val="20"/>
        </w:rPr>
        <w:t xml:space="preserve">20MHz </w:t>
      </w:r>
      <w:r>
        <w:rPr>
          <w:sz w:val="20"/>
          <w:szCs w:val="20"/>
        </w:rPr>
        <w:t>UE channel bandwidth is at the edge of the spectrum block, and still enabling gain by relaxing emissions requirements one the inner side of the spectrum block.</w:t>
      </w:r>
    </w:p>
    <w:p w14:paraId="5ACC8C89" w14:textId="77777777" w:rsidR="00582C8F" w:rsidRDefault="00582C8F" w:rsidP="0090478D">
      <w:pPr>
        <w:jc w:val="both"/>
        <w:rPr>
          <w:sz w:val="20"/>
          <w:szCs w:val="20"/>
        </w:rPr>
      </w:pPr>
    </w:p>
    <w:p w14:paraId="65BC5191" w14:textId="22962A22" w:rsidR="00E675FA" w:rsidRDefault="008C261E" w:rsidP="0090478D">
      <w:pPr>
        <w:jc w:val="both"/>
        <w:rPr>
          <w:sz w:val="20"/>
          <w:szCs w:val="20"/>
        </w:rPr>
      </w:pPr>
      <w:r>
        <w:rPr>
          <w:sz w:val="20"/>
          <w:szCs w:val="20"/>
        </w:rPr>
        <w:t>T</w:t>
      </w:r>
      <w:r w:rsidR="007E534B">
        <w:rPr>
          <w:sz w:val="20"/>
          <w:szCs w:val="20"/>
        </w:rPr>
        <w:t xml:space="preserve">he Shifted Channel Edge approaches </w:t>
      </w:r>
      <w:r>
        <w:rPr>
          <w:sz w:val="20"/>
          <w:szCs w:val="20"/>
        </w:rPr>
        <w:t xml:space="preserve">with “Wider CBW” or “Same CBW” </w:t>
      </w:r>
      <w:r w:rsidR="007E534B">
        <w:rPr>
          <w:sz w:val="20"/>
          <w:szCs w:val="20"/>
        </w:rPr>
        <w:t xml:space="preserve">can be used to enable this. An example is </w:t>
      </w:r>
      <w:r>
        <w:rPr>
          <w:sz w:val="20"/>
          <w:szCs w:val="20"/>
        </w:rPr>
        <w:t>a partial RB allocation located next to</w:t>
      </w:r>
      <w:r w:rsidR="007E534B">
        <w:rPr>
          <w:sz w:val="20"/>
          <w:szCs w:val="20"/>
        </w:rPr>
        <w:t xml:space="preserve"> </w:t>
      </w:r>
      <w:r w:rsidR="00657B8F">
        <w:rPr>
          <w:sz w:val="20"/>
          <w:szCs w:val="20"/>
        </w:rPr>
        <w:t>the right side of the channel</w:t>
      </w:r>
      <w:r>
        <w:rPr>
          <w:sz w:val="20"/>
          <w:szCs w:val="20"/>
        </w:rPr>
        <w:t>. On the right side, the relaxation is applied (shift of 10MHz) and on the left side there is a natural guardband created by unused RBs for this UE (where IBE would naturally apply as today)</w:t>
      </w:r>
      <w:r w:rsidR="00657B8F">
        <w:rPr>
          <w:sz w:val="20"/>
          <w:szCs w:val="20"/>
        </w:rPr>
        <w:t>.</w:t>
      </w:r>
      <w:r>
        <w:rPr>
          <w:sz w:val="20"/>
          <w:szCs w:val="20"/>
        </w:rPr>
        <w:t xml:space="preserve"> An example is provided in the figure below, but the</w:t>
      </w:r>
      <w:r w:rsidR="00EA3E19">
        <w:rPr>
          <w:sz w:val="20"/>
          <w:szCs w:val="20"/>
        </w:rPr>
        <w:t xml:space="preserve"> maximum </w:t>
      </w:r>
      <w:r w:rsidR="00475A3F">
        <w:rPr>
          <w:sz w:val="20"/>
          <w:szCs w:val="20"/>
        </w:rPr>
        <w:t>exact</w:t>
      </w:r>
      <w:r w:rsidR="00EA3E19">
        <w:rPr>
          <w:sz w:val="20"/>
          <w:szCs w:val="20"/>
        </w:rPr>
        <w:t xml:space="preserve"> RB allocation in this </w:t>
      </w:r>
      <w:r>
        <w:rPr>
          <w:sz w:val="20"/>
          <w:szCs w:val="20"/>
        </w:rPr>
        <w:t>scenario</w:t>
      </w:r>
      <w:r w:rsidR="00EA3E19">
        <w:rPr>
          <w:sz w:val="20"/>
          <w:szCs w:val="20"/>
        </w:rPr>
        <w:t xml:space="preserve"> would need further </w:t>
      </w:r>
      <w:r>
        <w:rPr>
          <w:sz w:val="20"/>
          <w:szCs w:val="20"/>
        </w:rPr>
        <w:t>confirmation</w:t>
      </w:r>
      <w:r w:rsidR="00EA3E19">
        <w:rPr>
          <w:sz w:val="20"/>
          <w:szCs w:val="20"/>
        </w:rPr>
        <w:t>.</w:t>
      </w:r>
    </w:p>
    <w:p w14:paraId="73649330" w14:textId="746F878E" w:rsidR="00E675FA" w:rsidRDefault="00E675FA" w:rsidP="00765A78">
      <w:pPr>
        <w:rPr>
          <w:sz w:val="20"/>
          <w:szCs w:val="20"/>
        </w:rPr>
      </w:pPr>
    </w:p>
    <w:p w14:paraId="38474F16" w14:textId="75DB0C1A" w:rsidR="00E675FA" w:rsidRDefault="00475A3F" w:rsidP="0090478D">
      <w:pPr>
        <w:jc w:val="center"/>
        <w:rPr>
          <w:rFonts w:eastAsiaTheme="minorEastAsia"/>
        </w:rPr>
      </w:pPr>
      <w:r>
        <w:rPr>
          <w:rFonts w:eastAsiaTheme="minorEastAsia"/>
          <w:noProof/>
        </w:rPr>
        <w:drawing>
          <wp:inline distT="0" distB="0" distL="0" distR="0" wp14:anchorId="1FA4A293" wp14:editId="2A5B0FAF">
            <wp:extent cx="495300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0" cy="1752600"/>
                    </a:xfrm>
                    <a:prstGeom prst="rect">
                      <a:avLst/>
                    </a:prstGeom>
                    <a:noFill/>
                    <a:ln>
                      <a:noFill/>
                    </a:ln>
                  </pic:spPr>
                </pic:pic>
              </a:graphicData>
            </a:graphic>
          </wp:inline>
        </w:drawing>
      </w:r>
    </w:p>
    <w:p w14:paraId="22B1C859" w14:textId="6F6C32A9" w:rsidR="00E675FA" w:rsidRPr="0090478D" w:rsidRDefault="00E675FA">
      <w:pPr>
        <w:spacing w:before="120"/>
        <w:jc w:val="center"/>
        <w:rPr>
          <w:rFonts w:asciiTheme="minorHAnsi" w:hAnsiTheme="minorHAnsi" w:cstheme="minorHAnsi"/>
          <w:b/>
          <w:bCs/>
          <w:sz w:val="20"/>
          <w:szCs w:val="20"/>
        </w:rPr>
      </w:pPr>
      <w:r w:rsidRPr="0090478D">
        <w:rPr>
          <w:rFonts w:asciiTheme="minorHAnsi" w:hAnsiTheme="minorHAnsi" w:cstheme="minorHAnsi"/>
          <w:b/>
          <w:bCs/>
          <w:sz w:val="20"/>
          <w:szCs w:val="20"/>
        </w:rPr>
        <w:t xml:space="preserve">Figure </w:t>
      </w:r>
      <w:r w:rsidR="00CC1A64" w:rsidRPr="0090478D">
        <w:rPr>
          <w:rFonts w:asciiTheme="minorHAnsi" w:hAnsiTheme="minorHAnsi" w:cstheme="minorHAnsi"/>
          <w:b/>
          <w:bCs/>
          <w:sz w:val="20"/>
          <w:szCs w:val="20"/>
        </w:rPr>
        <w:t xml:space="preserve">6 </w:t>
      </w:r>
      <w:r w:rsidRPr="0090478D">
        <w:rPr>
          <w:rFonts w:asciiTheme="minorHAnsi" w:hAnsiTheme="minorHAnsi" w:cstheme="minorHAnsi"/>
          <w:b/>
          <w:bCs/>
          <w:sz w:val="20"/>
          <w:szCs w:val="20"/>
        </w:rPr>
        <w:t>One-sided transmitter emissions requirements</w:t>
      </w:r>
    </w:p>
    <w:p w14:paraId="695F4E48" w14:textId="77777777" w:rsidR="00CC1A64" w:rsidRDefault="00CC1A64" w:rsidP="00FC7BAE">
      <w:pPr>
        <w:rPr>
          <w:b/>
          <w:bCs/>
          <w:sz w:val="20"/>
          <w:szCs w:val="20"/>
          <w:lang w:val="en-GB"/>
        </w:rPr>
      </w:pPr>
      <w:bookmarkStart w:id="36" w:name="OLE_LINK92"/>
    </w:p>
    <w:p w14:paraId="75B03ACF" w14:textId="24E068EB" w:rsidR="00E675FA" w:rsidRPr="00755315" w:rsidRDefault="00FC7BAE" w:rsidP="0090478D">
      <w:pPr>
        <w:jc w:val="both"/>
        <w:rPr>
          <w:sz w:val="20"/>
          <w:szCs w:val="20"/>
          <w:lang w:val="en-GB"/>
        </w:rPr>
      </w:pPr>
      <w:bookmarkStart w:id="37" w:name="OLE_LINK169"/>
      <w:r w:rsidRPr="0090478D">
        <w:rPr>
          <w:b/>
          <w:bCs/>
          <w:sz w:val="20"/>
          <w:szCs w:val="20"/>
          <w:u w:val="single"/>
          <w:lang w:val="en-GB"/>
        </w:rPr>
        <w:t>Proposal 3c</w:t>
      </w:r>
      <w:r>
        <w:rPr>
          <w:b/>
          <w:bCs/>
          <w:sz w:val="20"/>
          <w:szCs w:val="20"/>
          <w:lang w:val="en-GB"/>
        </w:rPr>
        <w:t xml:space="preserve">: </w:t>
      </w:r>
      <w:r w:rsidR="0095712F">
        <w:rPr>
          <w:b/>
          <w:bCs/>
          <w:sz w:val="20"/>
          <w:szCs w:val="20"/>
          <w:lang w:val="en-GB"/>
        </w:rPr>
        <w:t>Agree</w:t>
      </w:r>
      <w:r>
        <w:rPr>
          <w:b/>
          <w:bCs/>
          <w:sz w:val="20"/>
          <w:szCs w:val="20"/>
          <w:lang w:val="en-GB"/>
        </w:rPr>
        <w:t xml:space="preserve"> to further analyse the “One-Sided” Shifted Channel Edge enhancement to 3a and 3b approaches as one option to enable Outer RB allocation MPR reduction for RedCap and non-RedCap UE, when UE channel bandwidth is at one edge of the operator’s spectrum block.</w:t>
      </w:r>
      <w:r w:rsidR="00EA3E19">
        <w:rPr>
          <w:b/>
          <w:bCs/>
          <w:sz w:val="20"/>
          <w:szCs w:val="20"/>
          <w:lang w:val="en-GB"/>
        </w:rPr>
        <w:t xml:space="preserve"> The actual maximum RB allocation in this case can be further discussed.</w:t>
      </w:r>
      <w:bookmarkEnd w:id="36"/>
    </w:p>
    <w:bookmarkEnd w:id="37"/>
    <w:p w14:paraId="77597B32" w14:textId="0AD29DB2" w:rsidR="00F8660C" w:rsidRDefault="00274C6D" w:rsidP="7B4990E6">
      <w:pPr>
        <w:pStyle w:val="2"/>
        <w:ind w:left="0" w:firstLineChars="0" w:firstLine="0"/>
      </w:pPr>
      <w:r w:rsidRPr="7B4990E6">
        <w:t>4.4</w:t>
      </w:r>
      <w:r>
        <w:tab/>
      </w:r>
      <w:r w:rsidR="00D66C91" w:rsidRPr="7B4990E6">
        <w:t>Applicability</w:t>
      </w:r>
      <w:r w:rsidRPr="7B4990E6">
        <w:t xml:space="preserve"> for non-RedCap UE scenario</w:t>
      </w:r>
    </w:p>
    <w:p w14:paraId="7B67FBD1" w14:textId="5510D50D" w:rsidR="00274C6D" w:rsidRDefault="00274C6D" w:rsidP="0090478D">
      <w:pPr>
        <w:jc w:val="both"/>
        <w:rPr>
          <w:sz w:val="20"/>
          <w:szCs w:val="20"/>
          <w:lang w:val="en-GB"/>
        </w:rPr>
      </w:pPr>
      <w:r>
        <w:rPr>
          <w:sz w:val="20"/>
          <w:szCs w:val="20"/>
          <w:lang w:val="en-GB"/>
        </w:rPr>
        <w:t xml:space="preserve">For a non-RedCap UE operating in an operator spectrum block &gt;100MHz, </w:t>
      </w:r>
      <w:r w:rsidR="004510E9">
        <w:rPr>
          <w:sz w:val="20"/>
          <w:szCs w:val="20"/>
          <w:lang w:val="en-GB"/>
        </w:rPr>
        <w:t xml:space="preserve">the above </w:t>
      </w:r>
      <w:r>
        <w:rPr>
          <w:sz w:val="20"/>
          <w:szCs w:val="20"/>
          <w:lang w:val="en-GB"/>
        </w:rPr>
        <w:t xml:space="preserve">concepts </w:t>
      </w:r>
      <w:r w:rsidR="004510E9">
        <w:rPr>
          <w:sz w:val="20"/>
          <w:szCs w:val="20"/>
          <w:lang w:val="en-GB"/>
        </w:rPr>
        <w:t>should still</w:t>
      </w:r>
      <w:r>
        <w:rPr>
          <w:sz w:val="20"/>
          <w:szCs w:val="20"/>
          <w:lang w:val="en-GB"/>
        </w:rPr>
        <w:t xml:space="preserve"> apply. However, some additional considerations need to be taken into account, such as:</w:t>
      </w:r>
    </w:p>
    <w:p w14:paraId="5F347450" w14:textId="1DBB1157" w:rsidR="00274C6D" w:rsidRDefault="00274C6D" w:rsidP="0090478D">
      <w:pPr>
        <w:pStyle w:val="af4"/>
        <w:numPr>
          <w:ilvl w:val="0"/>
          <w:numId w:val="45"/>
        </w:numPr>
        <w:spacing w:before="120" w:after="100" w:afterAutospacing="1"/>
        <w:ind w:left="714" w:hanging="357"/>
        <w:contextualSpacing w:val="0"/>
        <w:jc w:val="both"/>
        <w:rPr>
          <w:sz w:val="20"/>
          <w:szCs w:val="20"/>
          <w:lang w:val="en-GB"/>
        </w:rPr>
      </w:pPr>
      <w:r>
        <w:rPr>
          <w:sz w:val="20"/>
          <w:szCs w:val="20"/>
          <w:lang w:val="en-GB"/>
        </w:rPr>
        <w:t>For Wider Channel Bandwidth approach, in FR1 there is no single carrier Channel Bandwidth &gt;100MHz. Could the BW</w:t>
      </w:r>
      <w:r>
        <w:rPr>
          <w:sz w:val="20"/>
          <w:szCs w:val="20"/>
          <w:vertAlign w:val="subscript"/>
          <w:lang w:val="en-GB"/>
        </w:rPr>
        <w:t xml:space="preserve">channel_CA </w:t>
      </w:r>
      <w:r>
        <w:rPr>
          <w:sz w:val="20"/>
          <w:szCs w:val="20"/>
          <w:lang w:val="en-GB"/>
        </w:rPr>
        <w:t>Tx emissions requirements be applied</w:t>
      </w:r>
      <w:r w:rsidR="00D66C91">
        <w:rPr>
          <w:sz w:val="20"/>
          <w:szCs w:val="20"/>
          <w:lang w:val="en-GB"/>
        </w:rPr>
        <w:t xml:space="preserve"> instead</w:t>
      </w:r>
      <w:r>
        <w:rPr>
          <w:sz w:val="20"/>
          <w:szCs w:val="20"/>
          <w:lang w:val="en-GB"/>
        </w:rPr>
        <w:t>?</w:t>
      </w:r>
    </w:p>
    <w:p w14:paraId="7A5F16C6" w14:textId="01CA2985" w:rsidR="00274C6D" w:rsidRDefault="00274C6D" w:rsidP="0090478D">
      <w:pPr>
        <w:pStyle w:val="af4"/>
        <w:numPr>
          <w:ilvl w:val="0"/>
          <w:numId w:val="45"/>
        </w:numPr>
        <w:spacing w:before="120" w:after="100" w:afterAutospacing="1"/>
        <w:ind w:left="714" w:hanging="357"/>
        <w:contextualSpacing w:val="0"/>
        <w:jc w:val="both"/>
        <w:rPr>
          <w:sz w:val="20"/>
          <w:szCs w:val="20"/>
          <w:lang w:val="en-GB"/>
        </w:rPr>
      </w:pPr>
      <w:r>
        <w:rPr>
          <w:sz w:val="20"/>
          <w:szCs w:val="20"/>
          <w:lang w:val="en-GB"/>
        </w:rPr>
        <w:t>Whether the CBW/2 shift from CBW edge would scale exactly for wider bandwidths</w:t>
      </w:r>
      <w:r w:rsidR="00EA3E19">
        <w:rPr>
          <w:sz w:val="20"/>
          <w:szCs w:val="20"/>
          <w:lang w:val="en-GB"/>
        </w:rPr>
        <w:t>. Note that the SEM does not exactly scale with bandwidth due to tighter initial 5MHz</w:t>
      </w:r>
      <w:r>
        <w:rPr>
          <w:sz w:val="20"/>
          <w:szCs w:val="20"/>
          <w:lang w:val="en-GB"/>
        </w:rPr>
        <w:t>. Th</w:t>
      </w:r>
      <w:r w:rsidR="00EA3E19">
        <w:rPr>
          <w:sz w:val="20"/>
          <w:szCs w:val="20"/>
          <w:lang w:val="en-GB"/>
        </w:rPr>
        <w:t>erefore, th</w:t>
      </w:r>
      <w:r>
        <w:rPr>
          <w:sz w:val="20"/>
          <w:szCs w:val="20"/>
          <w:lang w:val="en-GB"/>
        </w:rPr>
        <w:t>is needs some more analysis.</w:t>
      </w:r>
    </w:p>
    <w:p w14:paraId="2E7BFF03" w14:textId="48CFFD70" w:rsidR="00274C6D" w:rsidRPr="00755315" w:rsidRDefault="00FC7BAE" w:rsidP="0090478D">
      <w:pPr>
        <w:jc w:val="both"/>
        <w:rPr>
          <w:b/>
          <w:bCs/>
          <w:sz w:val="20"/>
          <w:szCs w:val="20"/>
          <w:lang w:val="en-GB"/>
        </w:rPr>
      </w:pPr>
      <w:bookmarkStart w:id="38" w:name="OLE_LINK170"/>
      <w:r w:rsidRPr="0090478D">
        <w:rPr>
          <w:b/>
          <w:bCs/>
          <w:sz w:val="20"/>
          <w:szCs w:val="20"/>
          <w:u w:val="single"/>
          <w:lang w:val="en-GB"/>
        </w:rPr>
        <w:lastRenderedPageBreak/>
        <w:t>Proposal 4</w:t>
      </w:r>
      <w:r w:rsidRPr="00755315">
        <w:rPr>
          <w:b/>
          <w:bCs/>
          <w:sz w:val="20"/>
          <w:szCs w:val="20"/>
          <w:lang w:val="en-GB"/>
        </w:rPr>
        <w:t>:</w:t>
      </w:r>
      <w:r w:rsidR="0095712F" w:rsidRPr="00755315">
        <w:rPr>
          <w:b/>
          <w:bCs/>
          <w:sz w:val="20"/>
          <w:szCs w:val="20"/>
          <w:lang w:val="en-GB"/>
        </w:rPr>
        <w:t xml:space="preserve"> For the non-RedCap UE, </w:t>
      </w:r>
      <w:r w:rsidR="0057015F" w:rsidRPr="00755315">
        <w:rPr>
          <w:b/>
          <w:bCs/>
          <w:sz w:val="20"/>
          <w:szCs w:val="20"/>
          <w:lang w:val="en-GB"/>
        </w:rPr>
        <w:t>study further</w:t>
      </w:r>
      <w:r w:rsidR="0095712F" w:rsidRPr="00755315">
        <w:rPr>
          <w:b/>
          <w:bCs/>
          <w:sz w:val="20"/>
          <w:szCs w:val="20"/>
          <w:lang w:val="en-GB"/>
        </w:rPr>
        <w:t xml:space="preserve"> the following aspects for the shifted channel edge approach:</w:t>
      </w:r>
    </w:p>
    <w:p w14:paraId="00402E07" w14:textId="43A785F8" w:rsidR="008C261E" w:rsidRPr="00755315" w:rsidRDefault="0057015F" w:rsidP="0090478D">
      <w:pPr>
        <w:pStyle w:val="af4"/>
        <w:numPr>
          <w:ilvl w:val="0"/>
          <w:numId w:val="49"/>
        </w:numPr>
        <w:jc w:val="both"/>
        <w:rPr>
          <w:b/>
          <w:bCs/>
          <w:sz w:val="20"/>
          <w:szCs w:val="20"/>
          <w:lang w:val="en-GB"/>
        </w:rPr>
      </w:pPr>
      <w:r w:rsidRPr="00755315">
        <w:rPr>
          <w:b/>
          <w:bCs/>
          <w:sz w:val="20"/>
          <w:szCs w:val="20"/>
          <w:lang w:val="en-GB"/>
        </w:rPr>
        <w:t>Which Tx emissions requirements framework would apply for Wider Channel Bandwidth</w:t>
      </w:r>
      <w:r w:rsidR="00FC0DB1">
        <w:rPr>
          <w:b/>
          <w:bCs/>
          <w:sz w:val="20"/>
          <w:szCs w:val="20"/>
          <w:lang w:val="en-GB"/>
        </w:rPr>
        <w:t xml:space="preserve"> &gt;100MHz</w:t>
      </w:r>
      <w:r w:rsidRPr="00755315">
        <w:rPr>
          <w:b/>
          <w:bCs/>
          <w:sz w:val="20"/>
          <w:szCs w:val="20"/>
          <w:lang w:val="en-GB"/>
        </w:rPr>
        <w:t>?</w:t>
      </w:r>
    </w:p>
    <w:p w14:paraId="15FAC226" w14:textId="7FBCC2CD" w:rsidR="00961BF7" w:rsidRPr="00961BF7" w:rsidRDefault="0057015F" w:rsidP="0090478D">
      <w:pPr>
        <w:pStyle w:val="af4"/>
        <w:numPr>
          <w:ilvl w:val="0"/>
          <w:numId w:val="49"/>
        </w:numPr>
        <w:jc w:val="both"/>
        <w:rPr>
          <w:rFonts w:eastAsia="新細明體"/>
          <w:lang w:val="en-GB"/>
        </w:rPr>
      </w:pPr>
      <w:r w:rsidRPr="0090478D">
        <w:rPr>
          <w:b/>
          <w:bCs/>
          <w:sz w:val="20"/>
          <w:szCs w:val="20"/>
          <w:lang w:val="en-GB"/>
        </w:rPr>
        <w:t xml:space="preserve">Whether the CBW/2 shift from the channel edge proposed for RedCap also scales </w:t>
      </w:r>
      <w:r w:rsidR="00EA3E19" w:rsidRPr="0090478D">
        <w:rPr>
          <w:b/>
          <w:bCs/>
          <w:sz w:val="20"/>
          <w:szCs w:val="20"/>
          <w:lang w:val="en-GB"/>
        </w:rPr>
        <w:t xml:space="preserve">in exactly the same way </w:t>
      </w:r>
      <w:r w:rsidRPr="0090478D">
        <w:rPr>
          <w:b/>
          <w:bCs/>
          <w:sz w:val="20"/>
          <w:szCs w:val="20"/>
          <w:lang w:val="en-GB"/>
        </w:rPr>
        <w:t xml:space="preserve">for larger </w:t>
      </w:r>
      <w:r w:rsidR="00825DBC">
        <w:rPr>
          <w:b/>
          <w:bCs/>
          <w:sz w:val="20"/>
          <w:szCs w:val="20"/>
          <w:lang w:val="en-GB"/>
        </w:rPr>
        <w:t xml:space="preserve">UE channel </w:t>
      </w:r>
      <w:r w:rsidRPr="0090478D">
        <w:rPr>
          <w:b/>
          <w:bCs/>
          <w:sz w:val="20"/>
          <w:szCs w:val="20"/>
          <w:lang w:val="en-GB"/>
        </w:rPr>
        <w:t>bandwidths</w:t>
      </w:r>
      <w:r w:rsidR="00EA3E19" w:rsidRPr="0090478D">
        <w:rPr>
          <w:b/>
          <w:bCs/>
          <w:sz w:val="20"/>
          <w:szCs w:val="20"/>
          <w:lang w:val="en-GB"/>
        </w:rPr>
        <w:t xml:space="preserve"> such as 80-100MHz</w:t>
      </w:r>
      <w:r w:rsidRPr="0090478D">
        <w:rPr>
          <w:b/>
          <w:bCs/>
          <w:sz w:val="20"/>
          <w:szCs w:val="20"/>
          <w:lang w:val="en-GB"/>
        </w:rPr>
        <w:t>.</w:t>
      </w:r>
      <w:bookmarkEnd w:id="27"/>
    </w:p>
    <w:bookmarkEnd w:id="38"/>
    <w:p w14:paraId="4A3C6F5F" w14:textId="5C48B4B3" w:rsidR="006946B2" w:rsidRPr="007B484D" w:rsidRDefault="007B484D" w:rsidP="005054A5">
      <w:pPr>
        <w:pStyle w:val="1"/>
        <w:numPr>
          <w:ilvl w:val="0"/>
          <w:numId w:val="0"/>
        </w:numPr>
        <w:ind w:left="425" w:hanging="425"/>
        <w:rPr>
          <w:rFonts w:cs="Arial"/>
        </w:rPr>
      </w:pPr>
      <w:r>
        <w:rPr>
          <w:rFonts w:cs="Arial"/>
        </w:rPr>
        <w:t>5</w:t>
      </w:r>
      <w:r w:rsidR="00410EB9" w:rsidRPr="007B484D">
        <w:rPr>
          <w:rFonts w:cs="Arial"/>
        </w:rPr>
        <w:tab/>
      </w:r>
      <w:r w:rsidR="00410EB9" w:rsidRPr="0090478D">
        <w:rPr>
          <w:rFonts w:eastAsia="微軟正黑體" w:cs="Arial"/>
          <w:lang w:eastAsia="zh-TW"/>
        </w:rPr>
        <w:t>Conclusion</w:t>
      </w:r>
    </w:p>
    <w:p w14:paraId="53199585" w14:textId="57E9B30A" w:rsidR="00952250" w:rsidRDefault="000F5FB8" w:rsidP="00D806E8">
      <w:pPr>
        <w:jc w:val="both"/>
        <w:rPr>
          <w:rFonts w:eastAsiaTheme="minorEastAsia"/>
          <w:sz w:val="20"/>
          <w:szCs w:val="20"/>
        </w:rPr>
      </w:pPr>
      <w:r w:rsidRPr="000F5FB8">
        <w:rPr>
          <w:rFonts w:eastAsiaTheme="minorEastAsia"/>
          <w:sz w:val="20"/>
          <w:szCs w:val="20"/>
        </w:rPr>
        <w:t>In this contribution, we have presented our perspectives on</w:t>
      </w:r>
      <w:r w:rsidRPr="000F5FB8">
        <w:t xml:space="preserve"> </w:t>
      </w:r>
      <w:r w:rsidRPr="000F5FB8">
        <w:rPr>
          <w:rFonts w:eastAsiaTheme="minorEastAsia"/>
          <w:sz w:val="20"/>
          <w:szCs w:val="20"/>
        </w:rPr>
        <w:t>power domain enhancement for NR single carrier, and have provided the following observations and proposals:</w:t>
      </w:r>
    </w:p>
    <w:p w14:paraId="10C871C6" w14:textId="77777777" w:rsidR="000F5FB8" w:rsidRDefault="000F5FB8" w:rsidP="00D806E8">
      <w:pPr>
        <w:jc w:val="both"/>
        <w:rPr>
          <w:rFonts w:eastAsiaTheme="minorEastAsia"/>
          <w:b/>
          <w:bCs/>
          <w:sz w:val="20"/>
          <w:szCs w:val="20"/>
        </w:rPr>
      </w:pPr>
    </w:p>
    <w:p w14:paraId="0DD778E3" w14:textId="77777777" w:rsidR="0090478D" w:rsidRDefault="0090478D" w:rsidP="0090478D">
      <w:pPr>
        <w:jc w:val="both"/>
        <w:rPr>
          <w:b/>
          <w:bCs/>
          <w:sz w:val="20"/>
          <w:szCs w:val="20"/>
        </w:rPr>
      </w:pPr>
      <w:r>
        <w:rPr>
          <w:b/>
          <w:bCs/>
          <w:sz w:val="20"/>
          <w:szCs w:val="20"/>
          <w:u w:val="single"/>
        </w:rPr>
        <w:t>Observation 1</w:t>
      </w:r>
      <w:r>
        <w:rPr>
          <w:b/>
          <w:bCs/>
          <w:sz w:val="20"/>
          <w:szCs w:val="20"/>
        </w:rPr>
        <w:t>: It is feasible and useful for RedCap UE to apply Tx emissions requirements relaxation inside a spectrum block &gt;20MHz if MPR reduction can be achieved.</w:t>
      </w:r>
    </w:p>
    <w:p w14:paraId="60F0D139" w14:textId="77777777" w:rsidR="00755315" w:rsidRPr="0090478D" w:rsidRDefault="00755315" w:rsidP="0090478D">
      <w:pPr>
        <w:jc w:val="both"/>
        <w:rPr>
          <w:b/>
          <w:bCs/>
          <w:sz w:val="20"/>
          <w:szCs w:val="20"/>
          <w:lang w:eastAsia="ko-KR"/>
        </w:rPr>
      </w:pPr>
    </w:p>
    <w:p w14:paraId="42905AF2" w14:textId="77777777" w:rsidR="0090478D" w:rsidRDefault="0090478D" w:rsidP="0090478D">
      <w:pPr>
        <w:jc w:val="both"/>
        <w:rPr>
          <w:b/>
          <w:bCs/>
          <w:sz w:val="20"/>
          <w:szCs w:val="20"/>
          <w:lang w:eastAsia="ko-KR"/>
        </w:rPr>
      </w:pPr>
      <w:r>
        <w:rPr>
          <w:b/>
          <w:bCs/>
          <w:sz w:val="20"/>
          <w:szCs w:val="20"/>
          <w:u w:val="single"/>
          <w:lang w:eastAsia="ko-KR"/>
        </w:rPr>
        <w:t>Observation 2</w:t>
      </w:r>
      <w:r>
        <w:rPr>
          <w:b/>
          <w:bCs/>
          <w:sz w:val="20"/>
          <w:szCs w:val="20"/>
          <w:lang w:eastAsia="ko-KR"/>
        </w:rPr>
        <w:t xml:space="preserve">: For a non-RedCap UE operating in a spectrum block &lt;100MHz, there is some flexibility today to enable relaxed emissions and tighter MPR via existing functions and requirements framework. However, some clarification would be useful in relation to BWP and CBW and applicability of requirements. </w:t>
      </w:r>
    </w:p>
    <w:p w14:paraId="6FED82CE" w14:textId="77777777" w:rsidR="00755315" w:rsidRPr="0090478D" w:rsidRDefault="00755315" w:rsidP="0090478D">
      <w:pPr>
        <w:jc w:val="both"/>
        <w:rPr>
          <w:rFonts w:eastAsia="Malgun Gothic"/>
          <w:b/>
          <w:bCs/>
          <w:sz w:val="20"/>
          <w:szCs w:val="20"/>
          <w:lang w:eastAsia="ko-KR"/>
        </w:rPr>
      </w:pPr>
    </w:p>
    <w:p w14:paraId="0196C235" w14:textId="77777777" w:rsidR="0090478D" w:rsidRDefault="0090478D" w:rsidP="0090478D">
      <w:pPr>
        <w:jc w:val="both"/>
        <w:rPr>
          <w:b/>
          <w:bCs/>
          <w:sz w:val="20"/>
          <w:szCs w:val="20"/>
          <w:lang w:eastAsia="ko-KR"/>
        </w:rPr>
      </w:pPr>
      <w:r>
        <w:rPr>
          <w:b/>
          <w:bCs/>
          <w:sz w:val="20"/>
          <w:szCs w:val="20"/>
          <w:u w:val="single"/>
          <w:lang w:eastAsia="ko-KR"/>
        </w:rPr>
        <w:t>Observation 3</w:t>
      </w:r>
      <w:r>
        <w:rPr>
          <w:b/>
          <w:bCs/>
          <w:sz w:val="20"/>
          <w:szCs w:val="20"/>
          <w:lang w:eastAsia="ko-KR"/>
        </w:rPr>
        <w:t>: For a non-RedCap UE operating in a spectrum block &gt;100MHz, emissions requirements relaxation appears to be feasible if sufficient to enable MPR reduction.</w:t>
      </w:r>
    </w:p>
    <w:p w14:paraId="1D30E511" w14:textId="77777777" w:rsidR="00755315" w:rsidRPr="0090478D" w:rsidRDefault="00755315" w:rsidP="0090478D">
      <w:pPr>
        <w:jc w:val="both"/>
        <w:rPr>
          <w:b/>
          <w:bCs/>
          <w:sz w:val="20"/>
          <w:szCs w:val="20"/>
          <w:lang w:eastAsia="ko-KR"/>
        </w:rPr>
      </w:pPr>
    </w:p>
    <w:p w14:paraId="64CFBDE9" w14:textId="77777777" w:rsidR="0090478D" w:rsidRDefault="0090478D" w:rsidP="0090478D">
      <w:pPr>
        <w:jc w:val="both"/>
        <w:rPr>
          <w:b/>
          <w:bCs/>
          <w:sz w:val="20"/>
          <w:szCs w:val="20"/>
          <w:lang w:eastAsia="ko-KR"/>
        </w:rPr>
      </w:pPr>
      <w:r>
        <w:rPr>
          <w:b/>
          <w:bCs/>
          <w:sz w:val="20"/>
          <w:szCs w:val="20"/>
          <w:u w:val="single"/>
          <w:lang w:eastAsia="ko-KR"/>
        </w:rPr>
        <w:t>Observation 4</w:t>
      </w:r>
      <w:r>
        <w:rPr>
          <w:b/>
          <w:bCs/>
          <w:sz w:val="20"/>
          <w:szCs w:val="20"/>
          <w:lang w:eastAsia="ko-KR"/>
        </w:rPr>
        <w:t>: In cases where adjacent spectrum outside of a block is not designated for other users/services, then it may be feasible to apply emission relaxation, subject to the specific regulatory requirements for that deployment.</w:t>
      </w:r>
    </w:p>
    <w:p w14:paraId="04CD9F21" w14:textId="77777777" w:rsidR="00755315" w:rsidRPr="0090478D" w:rsidRDefault="00755315" w:rsidP="0090478D">
      <w:pPr>
        <w:jc w:val="both"/>
        <w:rPr>
          <w:b/>
          <w:bCs/>
          <w:sz w:val="20"/>
          <w:szCs w:val="20"/>
          <w:lang w:eastAsia="ko-KR"/>
        </w:rPr>
      </w:pPr>
    </w:p>
    <w:p w14:paraId="7376A940" w14:textId="77777777" w:rsidR="0090478D" w:rsidRDefault="0090478D" w:rsidP="0090478D">
      <w:pPr>
        <w:jc w:val="both"/>
        <w:rPr>
          <w:b/>
          <w:bCs/>
          <w:sz w:val="20"/>
          <w:szCs w:val="20"/>
        </w:rPr>
      </w:pPr>
      <w:r>
        <w:rPr>
          <w:b/>
          <w:bCs/>
          <w:sz w:val="20"/>
          <w:szCs w:val="20"/>
          <w:u w:val="single"/>
        </w:rPr>
        <w:t>Observation 5</w:t>
      </w:r>
      <w:r>
        <w:rPr>
          <w:b/>
          <w:bCs/>
          <w:sz w:val="20"/>
          <w:szCs w:val="20"/>
        </w:rPr>
        <w:t>: For coordinated deployments such as site/network sharing, initial results suggest that relaxed UE Tx emissions requirements could be enabled whilst providing acceptable inter-operator coexistence. However regulatory aspects have not yet been considered.</w:t>
      </w:r>
    </w:p>
    <w:p w14:paraId="184B230D" w14:textId="158C7315" w:rsidR="00755315" w:rsidRDefault="00755315" w:rsidP="0090478D">
      <w:pPr>
        <w:jc w:val="both"/>
        <w:rPr>
          <w:rFonts w:eastAsiaTheme="minorEastAsia"/>
          <w:b/>
          <w:bCs/>
          <w:sz w:val="20"/>
          <w:szCs w:val="20"/>
        </w:rPr>
      </w:pPr>
    </w:p>
    <w:p w14:paraId="4EDE5DDE" w14:textId="77777777" w:rsidR="0090478D" w:rsidRDefault="0090478D" w:rsidP="0090478D">
      <w:pPr>
        <w:jc w:val="both"/>
        <w:rPr>
          <w:b/>
          <w:bCs/>
          <w:sz w:val="20"/>
          <w:szCs w:val="20"/>
        </w:rPr>
      </w:pPr>
      <w:r>
        <w:rPr>
          <w:b/>
          <w:bCs/>
          <w:sz w:val="20"/>
          <w:szCs w:val="20"/>
          <w:u w:val="single"/>
          <w:lang w:eastAsia="ko-KR"/>
        </w:rPr>
        <w:t>Observation 6</w:t>
      </w:r>
      <w:r>
        <w:rPr>
          <w:b/>
          <w:bCs/>
          <w:sz w:val="20"/>
          <w:szCs w:val="20"/>
          <w:lang w:eastAsia="ko-KR"/>
        </w:rPr>
        <w:t>: Network to UE signalling would be required to allow UE Tx emissions relaxations and applicable corresponding MPR improvement.</w:t>
      </w:r>
    </w:p>
    <w:p w14:paraId="48279970" w14:textId="2DA83AC6" w:rsidR="00755315" w:rsidRPr="0090478D" w:rsidRDefault="00755315" w:rsidP="0090478D">
      <w:pPr>
        <w:jc w:val="both"/>
        <w:rPr>
          <w:rFonts w:eastAsiaTheme="minorEastAsia"/>
          <w:b/>
          <w:bCs/>
          <w:sz w:val="20"/>
          <w:szCs w:val="20"/>
        </w:rPr>
      </w:pPr>
    </w:p>
    <w:p w14:paraId="7B876817" w14:textId="77777777" w:rsidR="0090478D" w:rsidRDefault="0090478D" w:rsidP="0090478D">
      <w:pPr>
        <w:jc w:val="both"/>
        <w:rPr>
          <w:b/>
          <w:bCs/>
          <w:sz w:val="20"/>
          <w:szCs w:val="20"/>
          <w:lang w:eastAsia="ko-KR"/>
        </w:rPr>
      </w:pPr>
      <w:r w:rsidRPr="0090478D">
        <w:rPr>
          <w:b/>
          <w:bCs/>
          <w:sz w:val="20"/>
          <w:szCs w:val="20"/>
          <w:u w:val="single"/>
          <w:lang w:eastAsia="ko-KR"/>
        </w:rPr>
        <w:t>Observation 7</w:t>
      </w:r>
      <w:r>
        <w:rPr>
          <w:b/>
          <w:bCs/>
          <w:sz w:val="20"/>
          <w:szCs w:val="20"/>
          <w:lang w:eastAsia="ko-KR"/>
        </w:rPr>
        <w:t>: It is feasible to allow operators to apply controlled relaxations to UE ACLR if there are no impacts to other operators, at least when operator’s own spectrum is immediately adjacent.</w:t>
      </w:r>
    </w:p>
    <w:p w14:paraId="29E39C1E" w14:textId="77777777" w:rsidR="00755315" w:rsidRPr="0090478D" w:rsidRDefault="00755315" w:rsidP="0090478D">
      <w:pPr>
        <w:jc w:val="both"/>
        <w:rPr>
          <w:rFonts w:eastAsiaTheme="minorEastAsia"/>
          <w:b/>
          <w:bCs/>
          <w:sz w:val="20"/>
          <w:szCs w:val="20"/>
        </w:rPr>
      </w:pPr>
    </w:p>
    <w:p w14:paraId="5318FE34" w14:textId="77777777" w:rsidR="0090478D" w:rsidRDefault="0090478D" w:rsidP="0090478D">
      <w:pPr>
        <w:jc w:val="both"/>
        <w:rPr>
          <w:b/>
          <w:bCs/>
          <w:sz w:val="20"/>
          <w:szCs w:val="20"/>
          <w:lang w:eastAsia="ko-KR"/>
        </w:rPr>
      </w:pPr>
      <w:r>
        <w:rPr>
          <w:b/>
          <w:bCs/>
          <w:sz w:val="20"/>
          <w:szCs w:val="20"/>
          <w:u w:val="single"/>
          <w:lang w:eastAsia="ko-KR"/>
        </w:rPr>
        <w:t>Observation 8</w:t>
      </w:r>
      <w:r>
        <w:rPr>
          <w:b/>
          <w:bCs/>
          <w:sz w:val="20"/>
          <w:szCs w:val="20"/>
          <w:lang w:eastAsia="ko-KR"/>
        </w:rPr>
        <w:t>: It is feasible to allow operators to apply controlled relaxations to UE SEM if there are no impacts to other operators, at least when operator’s own spectrum is immediately adjacent. ITU recommendations are not restrictive even outside of the operator’s spectrum block.</w:t>
      </w:r>
    </w:p>
    <w:p w14:paraId="593AA887" w14:textId="3A60219A" w:rsidR="00755315" w:rsidRPr="0090478D" w:rsidRDefault="00755315" w:rsidP="0090478D">
      <w:pPr>
        <w:jc w:val="both"/>
        <w:rPr>
          <w:rFonts w:eastAsia="Malgun Gothic"/>
          <w:b/>
          <w:bCs/>
          <w:sz w:val="20"/>
          <w:szCs w:val="20"/>
          <w:lang w:eastAsia="ko-KR"/>
        </w:rPr>
      </w:pPr>
    </w:p>
    <w:p w14:paraId="145F32C5" w14:textId="77777777" w:rsidR="0090478D" w:rsidRDefault="0090478D" w:rsidP="0090478D">
      <w:pPr>
        <w:jc w:val="both"/>
        <w:rPr>
          <w:b/>
          <w:bCs/>
          <w:sz w:val="20"/>
          <w:szCs w:val="20"/>
          <w:lang w:eastAsia="ko-KR"/>
        </w:rPr>
      </w:pPr>
      <w:r>
        <w:rPr>
          <w:b/>
          <w:bCs/>
          <w:sz w:val="20"/>
          <w:szCs w:val="20"/>
          <w:u w:val="single"/>
          <w:lang w:eastAsia="ko-KR"/>
        </w:rPr>
        <w:t>Observation 9</w:t>
      </w:r>
      <w:r>
        <w:rPr>
          <w:b/>
          <w:bCs/>
          <w:sz w:val="20"/>
          <w:szCs w:val="20"/>
          <w:lang w:eastAsia="ko-KR"/>
        </w:rPr>
        <w:t>: Relaxation of UE spurious emission requirement is likely needed if other Tx emission requirements such as ACLR or SEM are relaxed, and this is feasible whilst still adhering to ITU REC SM.329.</w:t>
      </w:r>
    </w:p>
    <w:p w14:paraId="4F4700E0" w14:textId="77777777" w:rsidR="00943F4F" w:rsidRPr="0090478D" w:rsidRDefault="00943F4F" w:rsidP="0090478D">
      <w:pPr>
        <w:jc w:val="both"/>
        <w:rPr>
          <w:b/>
          <w:bCs/>
          <w:sz w:val="20"/>
          <w:szCs w:val="20"/>
        </w:rPr>
      </w:pPr>
    </w:p>
    <w:p w14:paraId="00EEE647" w14:textId="77777777" w:rsidR="0090478D" w:rsidRDefault="0090478D" w:rsidP="0090478D">
      <w:pPr>
        <w:jc w:val="both"/>
        <w:rPr>
          <w:b/>
          <w:bCs/>
          <w:sz w:val="20"/>
          <w:szCs w:val="20"/>
        </w:rPr>
      </w:pPr>
      <w:r>
        <w:rPr>
          <w:b/>
          <w:bCs/>
          <w:sz w:val="20"/>
          <w:szCs w:val="20"/>
          <w:u w:val="single"/>
        </w:rPr>
        <w:t>Observation 10</w:t>
      </w:r>
      <w:r>
        <w:rPr>
          <w:b/>
          <w:bCs/>
          <w:sz w:val="20"/>
          <w:szCs w:val="20"/>
        </w:rPr>
        <w:t>: Shifting the starting frequency (channel edge) for Tx emissions requirements away from the first or last allocated RB by a sufficient amount can enable an Outer RB allocation to become equivalent to an Inner RB allocation from MPR perspective.</w:t>
      </w:r>
    </w:p>
    <w:p w14:paraId="23AF0B6C" w14:textId="54B58005" w:rsidR="00755315" w:rsidRPr="0090478D" w:rsidRDefault="00755315" w:rsidP="0090478D">
      <w:pPr>
        <w:jc w:val="both"/>
        <w:rPr>
          <w:rFonts w:eastAsia="Malgun Gothic"/>
          <w:b/>
          <w:bCs/>
          <w:sz w:val="20"/>
          <w:szCs w:val="20"/>
          <w:lang w:eastAsia="ko-KR"/>
        </w:rPr>
      </w:pPr>
    </w:p>
    <w:p w14:paraId="3F0A8403" w14:textId="77777777" w:rsidR="0090478D" w:rsidRDefault="0090478D" w:rsidP="0090478D">
      <w:pPr>
        <w:jc w:val="both"/>
        <w:rPr>
          <w:b/>
          <w:bCs/>
          <w:sz w:val="20"/>
          <w:szCs w:val="20"/>
        </w:rPr>
      </w:pPr>
      <w:r>
        <w:rPr>
          <w:b/>
          <w:bCs/>
          <w:sz w:val="20"/>
          <w:szCs w:val="20"/>
          <w:u w:val="single"/>
        </w:rPr>
        <w:t>Observation 11</w:t>
      </w:r>
      <w:r>
        <w:rPr>
          <w:b/>
          <w:bCs/>
          <w:sz w:val="20"/>
          <w:szCs w:val="20"/>
        </w:rPr>
        <w:t>: Relaxing ACLR without relaxing SEM/Spurious emissions will likely have smaller MPR reduction, more RAN4 effort, more complex MPR rules, and more complex real-time derivation of MPR by UE.</w:t>
      </w:r>
    </w:p>
    <w:p w14:paraId="51FD1516" w14:textId="77777777" w:rsidR="00755315" w:rsidRPr="0090478D" w:rsidRDefault="00755315" w:rsidP="0090478D">
      <w:pPr>
        <w:jc w:val="both"/>
        <w:rPr>
          <w:rFonts w:eastAsia="Malgun Gothic"/>
          <w:b/>
          <w:bCs/>
          <w:sz w:val="20"/>
          <w:szCs w:val="20"/>
          <w:lang w:eastAsia="ko-KR"/>
        </w:rPr>
      </w:pPr>
    </w:p>
    <w:p w14:paraId="50A37987" w14:textId="77777777" w:rsidR="0090478D" w:rsidRDefault="0090478D" w:rsidP="0090478D">
      <w:pPr>
        <w:jc w:val="both"/>
        <w:rPr>
          <w:b/>
          <w:bCs/>
          <w:sz w:val="20"/>
          <w:szCs w:val="20"/>
        </w:rPr>
      </w:pPr>
      <w:r>
        <w:rPr>
          <w:b/>
          <w:bCs/>
          <w:sz w:val="20"/>
          <w:szCs w:val="20"/>
          <w:u w:val="single"/>
        </w:rPr>
        <w:t>Observation 12</w:t>
      </w:r>
      <w:r>
        <w:rPr>
          <w:b/>
          <w:bCs/>
          <w:sz w:val="20"/>
          <w:szCs w:val="20"/>
        </w:rPr>
        <w:t xml:space="preserve">: 1dB – 1.5dB MPR reduction for Outer RB allocations is achievable with sufficient Tx emission requirements relaxations, depending on waveform (DFT-S-OFDM or CP-OFDM) and modulation scheme (QPSK or 16QAM). </w:t>
      </w:r>
    </w:p>
    <w:p w14:paraId="14F5F3A1" w14:textId="3B9BC5CE" w:rsidR="00755315" w:rsidRPr="0090478D" w:rsidRDefault="00755315" w:rsidP="0090478D">
      <w:pPr>
        <w:jc w:val="both"/>
        <w:rPr>
          <w:rFonts w:eastAsia="Malgun Gothic"/>
          <w:b/>
          <w:bCs/>
          <w:sz w:val="20"/>
          <w:szCs w:val="20"/>
          <w:lang w:eastAsia="ko-KR"/>
        </w:rPr>
      </w:pPr>
    </w:p>
    <w:p w14:paraId="2A46ABB0" w14:textId="77777777" w:rsidR="0090478D" w:rsidRDefault="0090478D" w:rsidP="0090478D">
      <w:pPr>
        <w:jc w:val="both"/>
        <w:rPr>
          <w:b/>
          <w:bCs/>
          <w:sz w:val="20"/>
          <w:szCs w:val="20"/>
        </w:rPr>
      </w:pPr>
      <w:r>
        <w:rPr>
          <w:b/>
          <w:bCs/>
          <w:sz w:val="20"/>
          <w:szCs w:val="20"/>
          <w:u w:val="single"/>
        </w:rPr>
        <w:t>Observation 13</w:t>
      </w:r>
      <w:r>
        <w:rPr>
          <w:b/>
          <w:bCs/>
          <w:sz w:val="20"/>
          <w:szCs w:val="20"/>
        </w:rPr>
        <w:t>: Aiming to reduce MPR lower than that of the inner RB allocation will lead to much more RAN4 work to identify the requirement bottlenecks and would fully or partially repeat the Rel-18 effort.</w:t>
      </w:r>
    </w:p>
    <w:p w14:paraId="57C0D982" w14:textId="1C652FEA" w:rsidR="00755315" w:rsidRPr="0090478D" w:rsidRDefault="00755315" w:rsidP="0090478D">
      <w:pPr>
        <w:jc w:val="both"/>
        <w:rPr>
          <w:rFonts w:eastAsia="Malgun Gothic"/>
          <w:b/>
          <w:bCs/>
          <w:sz w:val="20"/>
          <w:szCs w:val="20"/>
          <w:lang w:eastAsia="ko-KR"/>
        </w:rPr>
      </w:pPr>
    </w:p>
    <w:p w14:paraId="6195BE4F" w14:textId="77777777" w:rsidR="0090478D" w:rsidRDefault="0090478D" w:rsidP="0090478D">
      <w:pPr>
        <w:jc w:val="both"/>
        <w:rPr>
          <w:b/>
          <w:bCs/>
          <w:sz w:val="20"/>
          <w:szCs w:val="20"/>
          <w:lang w:eastAsia="ko-KR"/>
        </w:rPr>
      </w:pPr>
      <w:r>
        <w:rPr>
          <w:b/>
          <w:bCs/>
          <w:sz w:val="20"/>
          <w:szCs w:val="20"/>
          <w:u w:val="single"/>
          <w:lang w:eastAsia="ko-KR"/>
        </w:rPr>
        <w:t>Proposal 1</w:t>
      </w:r>
      <w:r>
        <w:rPr>
          <w:b/>
          <w:bCs/>
          <w:sz w:val="20"/>
          <w:szCs w:val="20"/>
          <w:lang w:eastAsia="ko-KR"/>
        </w:rPr>
        <w:t>: Further clarify the Tx emissions requirements applicability in relation to BWP and Channel Bandwidth, in particular when no dedicated UE channel bandwidth is configured to the UE.</w:t>
      </w:r>
    </w:p>
    <w:p w14:paraId="70EBD5C2" w14:textId="6F92A50B" w:rsidR="00755315" w:rsidRPr="0090478D" w:rsidRDefault="00755315" w:rsidP="0090478D">
      <w:pPr>
        <w:jc w:val="both"/>
        <w:rPr>
          <w:rFonts w:eastAsia="Malgun Gothic"/>
          <w:b/>
          <w:bCs/>
          <w:sz w:val="20"/>
          <w:szCs w:val="20"/>
          <w:lang w:eastAsia="ko-KR"/>
        </w:rPr>
      </w:pPr>
    </w:p>
    <w:p w14:paraId="2B53DCE1" w14:textId="77777777" w:rsidR="0090478D" w:rsidRDefault="0090478D" w:rsidP="0090478D">
      <w:pPr>
        <w:jc w:val="both"/>
        <w:rPr>
          <w:b/>
          <w:bCs/>
          <w:sz w:val="20"/>
          <w:szCs w:val="20"/>
        </w:rPr>
      </w:pPr>
      <w:r>
        <w:rPr>
          <w:b/>
          <w:bCs/>
          <w:sz w:val="20"/>
          <w:szCs w:val="20"/>
          <w:u w:val="single"/>
        </w:rPr>
        <w:t>Proposal 2</w:t>
      </w:r>
      <w:r>
        <w:rPr>
          <w:b/>
          <w:bCs/>
          <w:sz w:val="20"/>
          <w:szCs w:val="20"/>
        </w:rPr>
        <w:t>: Prioritize study on reduction of Outer RB allocation MPR to similar level as Inner RB allocation MPR without increasing reference UE complexity (particularly hardware), by appropriate Tx emission requirement relaxation in the identified operating scenarios.</w:t>
      </w:r>
    </w:p>
    <w:p w14:paraId="10A4F63F" w14:textId="77777777" w:rsidR="00755315" w:rsidRPr="0090478D" w:rsidRDefault="00755315" w:rsidP="0090478D">
      <w:pPr>
        <w:jc w:val="both"/>
        <w:rPr>
          <w:b/>
          <w:bCs/>
          <w:sz w:val="20"/>
          <w:szCs w:val="20"/>
        </w:rPr>
      </w:pPr>
    </w:p>
    <w:p w14:paraId="483F4DE7" w14:textId="77777777" w:rsidR="0090478D" w:rsidRDefault="0090478D" w:rsidP="0090478D">
      <w:pPr>
        <w:jc w:val="both"/>
        <w:rPr>
          <w:b/>
          <w:bCs/>
          <w:sz w:val="20"/>
          <w:szCs w:val="20"/>
          <w:lang w:val="en-GB"/>
        </w:rPr>
      </w:pPr>
      <w:r>
        <w:rPr>
          <w:b/>
          <w:bCs/>
          <w:sz w:val="20"/>
          <w:szCs w:val="20"/>
          <w:u w:val="single"/>
          <w:lang w:val="en-GB"/>
        </w:rPr>
        <w:t>Proposal 3</w:t>
      </w:r>
      <w:r>
        <w:rPr>
          <w:b/>
          <w:bCs/>
          <w:sz w:val="20"/>
          <w:szCs w:val="20"/>
          <w:lang w:val="en-GB"/>
        </w:rPr>
        <w:t>: Endorse a Tx emission requirements relaxation approach of shifting the Tx emissions requirements “channel edge” (</w:t>
      </w:r>
      <w:r>
        <w:rPr>
          <w:b/>
          <w:bCs/>
          <w:sz w:val="20"/>
          <w:szCs w:val="20"/>
        </w:rPr>
        <w:t>Δf</w:t>
      </w:r>
      <w:r>
        <w:rPr>
          <w:b/>
          <w:bCs/>
          <w:sz w:val="20"/>
          <w:szCs w:val="20"/>
          <w:vertAlign w:val="subscript"/>
        </w:rPr>
        <w:t>OOB</w:t>
      </w:r>
      <w:r>
        <w:rPr>
          <w:b/>
          <w:bCs/>
          <w:sz w:val="20"/>
          <w:szCs w:val="20"/>
          <w:lang w:val="en-GB"/>
        </w:rPr>
        <w:t xml:space="preserve"> = 0 MHz) away from real channel edge to create sufficient guardband from the UE channel bandwidth edge, to enable ACLR, SEM, and Spurious Emission relaxation. “Extension of” IBE or equivalent to apply from first/last allocated RB to new Tx emission requirements “channel edge”.</w:t>
      </w:r>
    </w:p>
    <w:p w14:paraId="264C2326" w14:textId="77777777" w:rsidR="00755315" w:rsidRPr="0090478D" w:rsidRDefault="00755315" w:rsidP="0090478D">
      <w:pPr>
        <w:jc w:val="both"/>
        <w:rPr>
          <w:b/>
          <w:bCs/>
          <w:sz w:val="20"/>
          <w:szCs w:val="20"/>
          <w:lang w:val="en-GB"/>
        </w:rPr>
      </w:pPr>
    </w:p>
    <w:p w14:paraId="12281BA2" w14:textId="77777777" w:rsidR="0090478D" w:rsidRDefault="0090478D" w:rsidP="0090478D">
      <w:pPr>
        <w:jc w:val="both"/>
        <w:rPr>
          <w:b/>
          <w:bCs/>
          <w:sz w:val="20"/>
          <w:szCs w:val="20"/>
          <w:lang w:val="en-GB"/>
        </w:rPr>
      </w:pPr>
      <w:r>
        <w:rPr>
          <w:b/>
          <w:bCs/>
          <w:sz w:val="20"/>
          <w:szCs w:val="20"/>
          <w:u w:val="single"/>
          <w:lang w:val="en-GB"/>
        </w:rPr>
        <w:t>Proposal 3a</w:t>
      </w:r>
      <w:r>
        <w:rPr>
          <w:b/>
          <w:bCs/>
          <w:sz w:val="20"/>
          <w:szCs w:val="20"/>
          <w:lang w:val="en-GB"/>
        </w:rPr>
        <w:t>: Agree to further analyse the Wider CBW Tx emission requirements framework as one option to enable Outer RB allocation MPR reduction, for RedCap and non-RedCap UE. Also further study the Spurious Emission requirement issue as described for this approach.</w:t>
      </w:r>
    </w:p>
    <w:p w14:paraId="5E223CDD" w14:textId="6285E038" w:rsidR="00755315" w:rsidRPr="0090478D" w:rsidRDefault="00755315" w:rsidP="0090478D">
      <w:pPr>
        <w:jc w:val="both"/>
        <w:rPr>
          <w:rFonts w:eastAsiaTheme="minorEastAsia"/>
          <w:b/>
          <w:bCs/>
          <w:sz w:val="20"/>
          <w:szCs w:val="20"/>
          <w:lang w:val="en-GB"/>
        </w:rPr>
      </w:pPr>
    </w:p>
    <w:p w14:paraId="71DA9D13" w14:textId="77777777" w:rsidR="0090478D" w:rsidRDefault="0090478D" w:rsidP="0090478D">
      <w:pPr>
        <w:jc w:val="both"/>
        <w:rPr>
          <w:b/>
          <w:bCs/>
          <w:sz w:val="20"/>
          <w:szCs w:val="20"/>
          <w:lang w:val="en-GB"/>
        </w:rPr>
      </w:pPr>
      <w:r>
        <w:rPr>
          <w:b/>
          <w:bCs/>
          <w:sz w:val="20"/>
          <w:szCs w:val="20"/>
          <w:u w:val="single"/>
          <w:lang w:val="en-GB"/>
        </w:rPr>
        <w:t>Proposal 3b</w:t>
      </w:r>
      <w:r>
        <w:rPr>
          <w:b/>
          <w:bCs/>
          <w:sz w:val="20"/>
          <w:szCs w:val="20"/>
          <w:lang w:val="en-GB"/>
        </w:rPr>
        <w:t>: Agree to further analyse the Shifted Channel Edge with “Same CBW” Tx emission requirements framework as one option to enable Outer RB allocation MPR reduction for RedCap and non-RedCap UE.</w:t>
      </w:r>
    </w:p>
    <w:p w14:paraId="44F7C0CD" w14:textId="77777777" w:rsidR="00755315" w:rsidRPr="0090478D" w:rsidRDefault="00755315" w:rsidP="0090478D">
      <w:pPr>
        <w:jc w:val="both"/>
        <w:rPr>
          <w:rFonts w:eastAsiaTheme="minorEastAsia"/>
          <w:b/>
          <w:bCs/>
          <w:sz w:val="20"/>
          <w:szCs w:val="20"/>
          <w:lang w:val="en-GB"/>
        </w:rPr>
      </w:pPr>
    </w:p>
    <w:p w14:paraId="460B1777" w14:textId="77777777" w:rsidR="0090478D" w:rsidRDefault="0090478D" w:rsidP="0090478D">
      <w:pPr>
        <w:jc w:val="both"/>
        <w:rPr>
          <w:sz w:val="20"/>
          <w:szCs w:val="20"/>
          <w:lang w:val="en-GB"/>
        </w:rPr>
      </w:pPr>
      <w:r>
        <w:rPr>
          <w:b/>
          <w:bCs/>
          <w:sz w:val="20"/>
          <w:szCs w:val="20"/>
          <w:u w:val="single"/>
          <w:lang w:val="en-GB"/>
        </w:rPr>
        <w:t>Proposal 3c</w:t>
      </w:r>
      <w:r>
        <w:rPr>
          <w:b/>
          <w:bCs/>
          <w:sz w:val="20"/>
          <w:szCs w:val="20"/>
          <w:lang w:val="en-GB"/>
        </w:rPr>
        <w:t>: Agree to further analyse the “One-Sided” Shifted Channel Edge enhancement to 3a and 3b approaches as one option to enable Outer RB allocation MPR reduction for RedCap and non-RedCap UE, when UE channel bandwidth is at one edge of the operator’s spectrum block. The actual maximum RB allocation in this case can be further discussed.</w:t>
      </w:r>
    </w:p>
    <w:p w14:paraId="67D290F1" w14:textId="57AE954D" w:rsidR="00755315" w:rsidRPr="0090478D" w:rsidRDefault="00755315" w:rsidP="0090478D">
      <w:pPr>
        <w:jc w:val="both"/>
        <w:rPr>
          <w:rFonts w:eastAsia="Malgun Gothic"/>
          <w:b/>
          <w:bCs/>
          <w:sz w:val="20"/>
          <w:szCs w:val="20"/>
          <w:lang w:val="en-GB" w:eastAsia="ko-KR"/>
        </w:rPr>
      </w:pPr>
    </w:p>
    <w:p w14:paraId="4FDC737F" w14:textId="77777777" w:rsidR="0090478D" w:rsidRDefault="0090478D" w:rsidP="0090478D">
      <w:pPr>
        <w:jc w:val="both"/>
        <w:rPr>
          <w:b/>
          <w:bCs/>
          <w:sz w:val="20"/>
          <w:szCs w:val="20"/>
          <w:lang w:val="en-GB"/>
        </w:rPr>
      </w:pPr>
      <w:r>
        <w:rPr>
          <w:b/>
          <w:bCs/>
          <w:sz w:val="20"/>
          <w:szCs w:val="20"/>
          <w:u w:val="single"/>
          <w:lang w:val="en-GB"/>
        </w:rPr>
        <w:t>Proposal 4</w:t>
      </w:r>
      <w:r>
        <w:rPr>
          <w:b/>
          <w:bCs/>
          <w:sz w:val="20"/>
          <w:szCs w:val="20"/>
          <w:lang w:val="en-GB"/>
        </w:rPr>
        <w:t>: For the non-RedCap UE, study further the following aspects for the shifted channel edge approach:</w:t>
      </w:r>
    </w:p>
    <w:p w14:paraId="5747A681" w14:textId="77777777" w:rsidR="0090478D" w:rsidRDefault="0090478D" w:rsidP="0090478D">
      <w:pPr>
        <w:pStyle w:val="af4"/>
        <w:numPr>
          <w:ilvl w:val="0"/>
          <w:numId w:val="52"/>
        </w:numPr>
        <w:jc w:val="both"/>
        <w:rPr>
          <w:b/>
          <w:bCs/>
          <w:sz w:val="20"/>
          <w:szCs w:val="20"/>
          <w:lang w:val="en-GB"/>
        </w:rPr>
      </w:pPr>
      <w:r>
        <w:rPr>
          <w:b/>
          <w:bCs/>
          <w:sz w:val="20"/>
          <w:szCs w:val="20"/>
          <w:lang w:val="en-GB"/>
        </w:rPr>
        <w:t>Which Tx emissions requirements framework would apply for Wider Channel Bandwidth &gt;100MHz?</w:t>
      </w:r>
    </w:p>
    <w:p w14:paraId="72CB74C2" w14:textId="77777777" w:rsidR="0090478D" w:rsidRDefault="0090478D" w:rsidP="0090478D">
      <w:pPr>
        <w:pStyle w:val="af4"/>
        <w:numPr>
          <w:ilvl w:val="0"/>
          <w:numId w:val="52"/>
        </w:numPr>
        <w:jc w:val="both"/>
        <w:rPr>
          <w:rFonts w:eastAsia="新細明體"/>
          <w:lang w:val="en-GB"/>
        </w:rPr>
      </w:pPr>
      <w:r>
        <w:rPr>
          <w:b/>
          <w:bCs/>
          <w:sz w:val="20"/>
          <w:szCs w:val="20"/>
          <w:lang w:val="en-GB"/>
        </w:rPr>
        <w:t>Whether the CBW/2 shift from the channel edge proposed for RedCap also scales in exactly the same way for larger UE channel bandwidths such as 80-100MHz.</w:t>
      </w:r>
    </w:p>
    <w:p w14:paraId="38A39E7E" w14:textId="53B8301E" w:rsidR="004D6C7F" w:rsidRPr="00F71F2D" w:rsidRDefault="007B484D" w:rsidP="00341FC7">
      <w:pPr>
        <w:pStyle w:val="1"/>
        <w:numPr>
          <w:ilvl w:val="0"/>
          <w:numId w:val="0"/>
        </w:numPr>
        <w:ind w:left="425" w:hanging="425"/>
        <w:jc w:val="both"/>
        <w:rPr>
          <w:rFonts w:cs="Arial"/>
        </w:rPr>
      </w:pPr>
      <w:r>
        <w:rPr>
          <w:rFonts w:cs="Arial"/>
        </w:rPr>
        <w:t>6</w:t>
      </w:r>
      <w:r w:rsidR="004D6C7F" w:rsidRPr="00F71F2D">
        <w:rPr>
          <w:rFonts w:cs="Arial"/>
        </w:rPr>
        <w:tab/>
      </w:r>
      <w:r w:rsidR="00593015">
        <w:rPr>
          <w:rFonts w:cs="Arial"/>
        </w:rPr>
        <w:t>Reference</w:t>
      </w:r>
      <w:r>
        <w:rPr>
          <w:rFonts w:cs="Arial"/>
        </w:rPr>
        <w:t>s</w:t>
      </w:r>
    </w:p>
    <w:p w14:paraId="3620C536" w14:textId="6BA8FC53" w:rsidR="002F11D1" w:rsidRPr="0090478D" w:rsidRDefault="00BB7F22" w:rsidP="00E811B1">
      <w:pPr>
        <w:numPr>
          <w:ilvl w:val="0"/>
          <w:numId w:val="3"/>
        </w:numPr>
        <w:jc w:val="both"/>
        <w:rPr>
          <w:rFonts w:eastAsiaTheme="minorEastAsia"/>
          <w:sz w:val="20"/>
          <w:szCs w:val="20"/>
        </w:rPr>
      </w:pPr>
      <w:r w:rsidRPr="00BB7F22">
        <w:rPr>
          <w:sz w:val="20"/>
          <w:szCs w:val="20"/>
        </w:rPr>
        <w:t>RP-240828</w:t>
      </w:r>
      <w:r w:rsidR="000D2243" w:rsidRPr="00A21E9E">
        <w:rPr>
          <w:sz w:val="20"/>
          <w:szCs w:val="20"/>
        </w:rPr>
        <w:t>, “</w:t>
      </w:r>
      <w:r w:rsidR="00A56A9F" w:rsidRPr="00A56A9F">
        <w:rPr>
          <w:sz w:val="20"/>
          <w:szCs w:val="20"/>
        </w:rPr>
        <w:t>New WID: UE RF enhancements for NR FR1/FR2 and EN-DC, Phase 4</w:t>
      </w:r>
      <w:r w:rsidR="000D2243" w:rsidRPr="00A21E9E">
        <w:rPr>
          <w:sz w:val="20"/>
          <w:szCs w:val="20"/>
        </w:rPr>
        <w:t xml:space="preserve">”, </w:t>
      </w:r>
      <w:r w:rsidR="00A56A9F" w:rsidRPr="00A56A9F">
        <w:rPr>
          <w:sz w:val="20"/>
          <w:szCs w:val="20"/>
        </w:rPr>
        <w:t>Huawei</w:t>
      </w:r>
      <w:r w:rsidR="000D2243" w:rsidRPr="00A21E9E">
        <w:rPr>
          <w:sz w:val="20"/>
          <w:szCs w:val="20"/>
        </w:rPr>
        <w:t>.</w:t>
      </w:r>
    </w:p>
    <w:p w14:paraId="4CE4F41D" w14:textId="052737B2" w:rsidR="000B7FBB" w:rsidRPr="00E811B1" w:rsidRDefault="000B7FBB" w:rsidP="00E811B1">
      <w:pPr>
        <w:numPr>
          <w:ilvl w:val="0"/>
          <w:numId w:val="3"/>
        </w:numPr>
        <w:jc w:val="both"/>
        <w:rPr>
          <w:rFonts w:eastAsiaTheme="minorEastAsia"/>
          <w:sz w:val="20"/>
          <w:szCs w:val="20"/>
        </w:rPr>
      </w:pPr>
      <w:r>
        <w:rPr>
          <w:sz w:val="20"/>
          <w:szCs w:val="20"/>
        </w:rPr>
        <w:t>3GPP TS 38.101-1</w:t>
      </w:r>
    </w:p>
    <w:sectPr w:rsidR="000B7FBB" w:rsidRPr="00E811B1"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B17CA" w14:textId="77777777" w:rsidR="00502F72" w:rsidRDefault="00502F72">
      <w:r>
        <w:separator/>
      </w:r>
    </w:p>
  </w:endnote>
  <w:endnote w:type="continuationSeparator" w:id="0">
    <w:p w14:paraId="76C1F0D1" w14:textId="77777777" w:rsidR="00502F72" w:rsidRDefault="0050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08CB8" w14:textId="77777777" w:rsidR="00502F72" w:rsidRDefault="00502F72">
      <w:r>
        <w:separator/>
      </w:r>
    </w:p>
  </w:footnote>
  <w:footnote w:type="continuationSeparator" w:id="0">
    <w:p w14:paraId="4C5D0F09" w14:textId="77777777" w:rsidR="00502F72" w:rsidRDefault="00502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8"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19"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D3510C"/>
    <w:multiLevelType w:val="multilevel"/>
    <w:tmpl w:val="0809001D"/>
    <w:numStyleLink w:val="Style1"/>
  </w:abstractNum>
  <w:abstractNum w:abstractNumId="24"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67330636">
    <w:abstractNumId w:val="32"/>
  </w:num>
  <w:num w:numId="2" w16cid:durableId="1423528706">
    <w:abstractNumId w:val="17"/>
  </w:num>
  <w:num w:numId="3" w16cid:durableId="874343619">
    <w:abstractNumId w:val="0"/>
  </w:num>
  <w:num w:numId="4" w16cid:durableId="841431947">
    <w:abstractNumId w:val="8"/>
  </w:num>
  <w:num w:numId="5" w16cid:durableId="67072413">
    <w:abstractNumId w:val="11"/>
  </w:num>
  <w:num w:numId="6" w16cid:durableId="1484589773">
    <w:abstractNumId w:val="31"/>
  </w:num>
  <w:num w:numId="7" w16cid:durableId="186258638">
    <w:abstractNumId w:val="10"/>
  </w:num>
  <w:num w:numId="8" w16cid:durableId="469327179">
    <w:abstractNumId w:val="34"/>
  </w:num>
  <w:num w:numId="9" w16cid:durableId="1066758163">
    <w:abstractNumId w:val="33"/>
  </w:num>
  <w:num w:numId="10" w16cid:durableId="651450058">
    <w:abstractNumId w:val="24"/>
  </w:num>
  <w:num w:numId="11" w16cid:durableId="1591573906">
    <w:abstractNumId w:val="35"/>
  </w:num>
  <w:num w:numId="12" w16cid:durableId="665477445">
    <w:abstractNumId w:val="41"/>
  </w:num>
  <w:num w:numId="13" w16cid:durableId="848328650">
    <w:abstractNumId w:val="22"/>
  </w:num>
  <w:num w:numId="14" w16cid:durableId="1708261833">
    <w:abstractNumId w:val="28"/>
  </w:num>
  <w:num w:numId="15" w16cid:durableId="503321604">
    <w:abstractNumId w:val="12"/>
  </w:num>
  <w:num w:numId="16" w16cid:durableId="385177476">
    <w:abstractNumId w:val="20"/>
  </w:num>
  <w:num w:numId="17" w16cid:durableId="1107312014">
    <w:abstractNumId w:val="9"/>
  </w:num>
  <w:num w:numId="18" w16cid:durableId="637613402">
    <w:abstractNumId w:val="3"/>
  </w:num>
  <w:num w:numId="19" w16cid:durableId="1362245154">
    <w:abstractNumId w:val="7"/>
  </w:num>
  <w:num w:numId="20" w16cid:durableId="2004359935">
    <w:abstractNumId w:val="39"/>
  </w:num>
  <w:num w:numId="21" w16cid:durableId="276253673">
    <w:abstractNumId w:val="21"/>
  </w:num>
  <w:num w:numId="22" w16cid:durableId="21441355">
    <w:abstractNumId w:val="26"/>
  </w:num>
  <w:num w:numId="23" w16cid:durableId="1970893189">
    <w:abstractNumId w:val="25"/>
  </w:num>
  <w:num w:numId="24" w16cid:durableId="874662788">
    <w:abstractNumId w:val="4"/>
  </w:num>
  <w:num w:numId="25" w16cid:durableId="1643920200">
    <w:abstractNumId w:val="16"/>
  </w:num>
  <w:num w:numId="26" w16cid:durableId="1739550823">
    <w:abstractNumId w:val="16"/>
  </w:num>
  <w:num w:numId="27" w16cid:durableId="451217873">
    <w:abstractNumId w:val="2"/>
  </w:num>
  <w:num w:numId="28" w16cid:durableId="226037834">
    <w:abstractNumId w:val="6"/>
  </w:num>
  <w:num w:numId="29" w16cid:durableId="687949367">
    <w:abstractNumId w:val="36"/>
  </w:num>
  <w:num w:numId="30" w16cid:durableId="21177484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1222691">
    <w:abstractNumId w:val="14"/>
  </w:num>
  <w:num w:numId="32" w16cid:durableId="1986545089">
    <w:abstractNumId w:val="19"/>
  </w:num>
  <w:num w:numId="33" w16cid:durableId="1798793174">
    <w:abstractNumId w:val="19"/>
  </w:num>
  <w:num w:numId="34" w16cid:durableId="1264416501">
    <w:abstractNumId w:val="29"/>
  </w:num>
  <w:num w:numId="35" w16cid:durableId="1303805355">
    <w:abstractNumId w:val="19"/>
  </w:num>
  <w:num w:numId="36" w16cid:durableId="1894075398">
    <w:abstractNumId w:val="29"/>
    <w:lvlOverride w:ilvl="0">
      <w:startOverride w:val="1"/>
    </w:lvlOverride>
    <w:lvlOverride w:ilvl="1"/>
    <w:lvlOverride w:ilvl="2"/>
    <w:lvlOverride w:ilvl="3"/>
    <w:lvlOverride w:ilvl="4"/>
    <w:lvlOverride w:ilvl="5"/>
    <w:lvlOverride w:ilvl="6"/>
    <w:lvlOverride w:ilvl="7"/>
    <w:lvlOverride w:ilvl="8"/>
  </w:num>
  <w:num w:numId="37" w16cid:durableId="649989048">
    <w:abstractNumId w:val="1"/>
  </w:num>
  <w:num w:numId="38" w16cid:durableId="2112388043">
    <w:abstractNumId w:val="40"/>
  </w:num>
  <w:num w:numId="39" w16cid:durableId="1079836724">
    <w:abstractNumId w:val="6"/>
  </w:num>
  <w:num w:numId="40" w16cid:durableId="1461990937">
    <w:abstractNumId w:val="5"/>
  </w:num>
  <w:num w:numId="41" w16cid:durableId="1377117686">
    <w:abstractNumId w:val="5"/>
  </w:num>
  <w:num w:numId="42" w16cid:durableId="442767222">
    <w:abstractNumId w:val="15"/>
  </w:num>
  <w:num w:numId="43" w16cid:durableId="331952286">
    <w:abstractNumId w:val="23"/>
  </w:num>
  <w:num w:numId="44" w16cid:durableId="430054087">
    <w:abstractNumId w:val="18"/>
  </w:num>
  <w:num w:numId="45" w16cid:durableId="2035226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99769463">
    <w:abstractNumId w:val="6"/>
  </w:num>
  <w:num w:numId="47" w16cid:durableId="85884878">
    <w:abstractNumId w:val="13"/>
  </w:num>
  <w:num w:numId="48" w16cid:durableId="2143844397">
    <w:abstractNumId w:val="30"/>
  </w:num>
  <w:num w:numId="49" w16cid:durableId="834805912">
    <w:abstractNumId w:val="37"/>
  </w:num>
  <w:num w:numId="50" w16cid:durableId="27411587">
    <w:abstractNumId w:val="27"/>
  </w:num>
  <w:num w:numId="51" w16cid:durableId="137694211">
    <w:abstractNumId w:val="38"/>
  </w:num>
  <w:num w:numId="52" w16cid:durableId="1827168297">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27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EDD"/>
    <w:rsid w:val="0063659A"/>
    <w:rsid w:val="006400C3"/>
    <w:rsid w:val="00640547"/>
    <w:rsid w:val="0064090B"/>
    <w:rsid w:val="006415FD"/>
    <w:rsid w:val="0064189D"/>
    <w:rsid w:val="00641FD0"/>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558"/>
    <w:rsid w:val="00993868"/>
    <w:rsid w:val="00993FAB"/>
    <w:rsid w:val="009940F3"/>
    <w:rsid w:val="00994212"/>
    <w:rsid w:val="009946B1"/>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Pages>
  <Words>4129</Words>
  <Characters>23536</Characters>
  <Application>Microsoft Office Word</Application>
  <DocSecurity>0</DocSecurity>
  <Lines>196</Lines>
  <Paragraphs>55</Paragraphs>
  <ScaleCrop>false</ScaleCrop>
  <Company>NEC Group</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3</cp:revision>
  <cp:lastPrinted>2012-09-28T04:55:00Z</cp:lastPrinted>
  <dcterms:created xsi:type="dcterms:W3CDTF">2024-04-08T17:04:00Z</dcterms:created>
  <dcterms:modified xsi:type="dcterms:W3CDTF">2024-04-08T18:05:00Z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